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Certain Definitions in the Statutes Governing the Gambling Control Board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598 - L.D. 1743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Amend Certain Definitions in the Statutes Governing the Gambling Control Board</w:t>
      </w:r>
    </w:p>
    <w:p w:rsidR="00685F2E" w:rsidP="00685F2E">
      <w:pPr>
        <w:ind w:left="360"/>
        <w:rPr>
          <w:rFonts w:ascii="Arial" w:eastAsia="Arial" w:hAnsi="Arial" w:cs="Arial"/>
        </w:rPr>
      </w:pPr>
      <w:bookmarkStart w:id="0" w:name="_ENACTING_CLAUSE__6a136318_d4c0_48eb_a37"/>
      <w:bookmarkStart w:id="1" w:name="_PAR__1_9e2b586e_b766_4c1d_822e_8b0f044e"/>
      <w:bookmarkStart w:id="2" w:name="_DOC_BODY_CONTAINER__8febb6bb_39fc_43ff_"/>
      <w:r>
        <w:rPr>
          <w:rFonts w:ascii="Arial" w:eastAsia="Arial" w:hAnsi="Arial" w:cs="Arial"/>
          <w:b/>
        </w:rPr>
        <w:t>Be it enacted by the People of the State of Maine as follows:</w:t>
      </w:r>
    </w:p>
    <w:p w:rsidR="00685F2E" w:rsidP="00685F2E">
      <w:pPr>
        <w:ind w:left="360" w:firstLine="360"/>
        <w:rPr>
          <w:rFonts w:ascii="Arial" w:eastAsia="Arial" w:hAnsi="Arial" w:cs="Arial"/>
        </w:rPr>
      </w:pPr>
      <w:bookmarkStart w:id="3" w:name="_BILL_SECTION_HEADER__239934f3_3509_4865"/>
      <w:bookmarkStart w:id="4" w:name="_PAR__2_5ee2cc64_9df2_4940_b3a2_196a2121"/>
      <w:bookmarkStart w:id="5" w:name="_BILL_SECTION__7f2a5ac0_9226_409a_b797_b"/>
      <w:bookmarkStart w:id="6" w:name="_DOC_BODY_CONTENT__01c249c2_d541_45cf_80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ba4a4571_be08_42b0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8 MRSA §1001, sub-§13-A,</w:t>
      </w:r>
      <w:r>
        <w:rPr>
          <w:rFonts w:ascii="Arial" w:eastAsia="Arial" w:hAnsi="Arial" w:cs="Arial"/>
        </w:rPr>
        <w:t xml:space="preserve"> as enacted by PL 2013, c. 212, §2, is amended to read:</w:t>
      </w:r>
    </w:p>
    <w:p w:rsidR="00685F2E" w:rsidP="00685F2E">
      <w:pPr>
        <w:ind w:left="360" w:firstLine="360"/>
        <w:rPr>
          <w:rFonts w:ascii="Arial" w:eastAsia="Arial" w:hAnsi="Arial" w:cs="Arial"/>
        </w:rPr>
      </w:pPr>
      <w:bookmarkStart w:id="8" w:name="_STATUTE_NUMBER__e03c3019_b036_4a44_ae6f"/>
      <w:bookmarkStart w:id="9" w:name="_STATUTE_SS__f585e460_4279_4e06_8cc6_387"/>
      <w:bookmarkStart w:id="10" w:name="_PAR__3_35644ad3_d0c9_4b05_8772_ec1f4393"/>
      <w:bookmarkEnd w:id="3"/>
      <w:bookmarkEnd w:id="4"/>
      <w:r>
        <w:rPr>
          <w:rFonts w:ascii="Arial" w:eastAsia="Arial" w:hAnsi="Arial" w:cs="Arial"/>
          <w:b/>
        </w:rPr>
        <w:t>13-A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1" w:name="_STATUTE_HEADNOTE__c618fb21_5536_49ce_93"/>
      <w:r>
        <w:rPr>
          <w:rFonts w:ascii="Arial" w:eastAsia="Arial" w:hAnsi="Arial" w:cs="Arial"/>
          <w:b/>
        </w:rPr>
        <w:t xml:space="preserve">Electronic </w:t>
      </w:r>
      <w:r>
        <w:rPr>
          <w:rFonts w:ascii="Arial" w:eastAsia="Arial" w:hAnsi="Arial" w:cs="Arial"/>
          <w:b/>
          <w:strike/>
        </w:rPr>
        <w:t>facsimile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table game</w:t>
      </w:r>
      <w:r>
        <w:rPr>
          <w:rFonts w:ascii="Arial" w:eastAsia="Arial" w:hAnsi="Arial" w:cs="Arial"/>
          <w:b/>
        </w:rPr>
        <w:t>.</w:t>
      </w:r>
      <w:bookmarkEnd w:id="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" w:name="_STATUTE_CONTENT__a7fe1198_a403_41fb_89b"/>
      <w:r>
        <w:rPr>
          <w:rFonts w:ascii="Arial" w:eastAsia="Arial" w:hAnsi="Arial" w:cs="Arial"/>
        </w:rPr>
        <w:t xml:space="preserve">"Electronic </w:t>
      </w:r>
      <w:r>
        <w:rPr>
          <w:rFonts w:ascii="Arial" w:eastAsia="Arial" w:hAnsi="Arial" w:cs="Arial"/>
          <w:strike/>
        </w:rPr>
        <w:t>facsimile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table game</w:t>
      </w:r>
      <w:r>
        <w:rPr>
          <w:rFonts w:ascii="Arial" w:eastAsia="Arial" w:hAnsi="Arial" w:cs="Arial"/>
        </w:rPr>
        <w:t xml:space="preserve">" means a game approved by the board that is played in an electronic or electromechanical format that replicates a table game by incorporating all </w:t>
      </w:r>
      <w:r>
        <w:rPr>
          <w:rFonts w:ascii="Arial" w:eastAsia="Arial" w:hAnsi="Arial" w:cs="Arial"/>
          <w:u w:val="single"/>
        </w:rPr>
        <w:t>or part</w:t>
      </w:r>
      <w:r>
        <w:rPr>
          <w:rFonts w:ascii="Arial" w:eastAsia="Arial" w:hAnsi="Arial" w:cs="Arial"/>
        </w:rPr>
        <w:t xml:space="preserve"> of the characteristics of the game.  "Electronic </w:t>
      </w:r>
      <w:r>
        <w:rPr>
          <w:rFonts w:ascii="Arial" w:eastAsia="Arial" w:hAnsi="Arial" w:cs="Arial"/>
          <w:strike/>
        </w:rPr>
        <w:t>facsimile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table game</w:t>
      </w:r>
      <w:r>
        <w:rPr>
          <w:rFonts w:ascii="Arial" w:eastAsia="Arial" w:hAnsi="Arial" w:cs="Arial"/>
        </w:rPr>
        <w:t>" does not include a slot machine.</w:t>
      </w:r>
      <w:bookmarkEnd w:id="12"/>
    </w:p>
    <w:p w:rsidR="00685F2E" w:rsidP="00685F2E">
      <w:pPr>
        <w:ind w:left="360" w:firstLine="360"/>
        <w:rPr>
          <w:rFonts w:ascii="Arial" w:eastAsia="Arial" w:hAnsi="Arial" w:cs="Arial"/>
        </w:rPr>
      </w:pPr>
      <w:bookmarkStart w:id="13" w:name="_BILL_SECTION_HEADER__7d328a59_04fe_482c"/>
      <w:bookmarkStart w:id="14" w:name="_PAR__4_0cda526d_a39b_46a4_ba3b_e1fa3822"/>
      <w:bookmarkStart w:id="15" w:name="_BILL_SECTION__3bbffecf_6e74_4f99_8356_b"/>
      <w:bookmarkEnd w:id="5"/>
      <w:bookmarkEnd w:id="9"/>
      <w:bookmarkEnd w:id="10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80863e82_04ff_4393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8 MRSA §1001, sub-§43-A,</w:t>
      </w:r>
      <w:r>
        <w:rPr>
          <w:rFonts w:ascii="Arial" w:eastAsia="Arial" w:hAnsi="Arial" w:cs="Arial"/>
        </w:rPr>
        <w:t xml:space="preserve"> as enacted by IB 2009, c. 2, §15, is amended to read:</w:t>
      </w:r>
    </w:p>
    <w:p w:rsidR="00000000" w:rsidP="00685F2E">
      <w:pPr>
        <w:ind w:left="360" w:firstLine="360"/>
        <w:rPr>
          <w:rFonts w:ascii="Arial" w:eastAsia="Arial" w:hAnsi="Arial" w:cs="Arial"/>
        </w:rPr>
      </w:pPr>
      <w:bookmarkStart w:id="17" w:name="_STATUTE_NUMBER__ab8eea97_2ab6_489a_8a16"/>
      <w:bookmarkStart w:id="18" w:name="_STATUTE_SS__f6dc8481_1381_4e55_ae40_764"/>
      <w:bookmarkStart w:id="19" w:name="_PAR__5_41b8d7b6_a1ef_47d6_a26c_94a8c50b"/>
      <w:bookmarkEnd w:id="13"/>
      <w:bookmarkEnd w:id="14"/>
      <w:r>
        <w:rPr>
          <w:rFonts w:ascii="Arial" w:eastAsia="Arial" w:hAnsi="Arial" w:cs="Arial"/>
          <w:b/>
        </w:rPr>
        <w:t>43-A</w:t>
      </w:r>
      <w:bookmarkEnd w:id="17"/>
      <w:r>
        <w:rPr>
          <w:rFonts w:ascii="Arial" w:eastAsia="Arial" w:hAnsi="Arial" w:cs="Arial"/>
          <w:b/>
        </w:rPr>
        <w:t xml:space="preserve">.  </w:t>
      </w:r>
      <w:bookmarkStart w:id="20" w:name="_STATUTE_HEADNOTE__4e5f8a17_ff8b_4cc5_83"/>
      <w:r>
        <w:rPr>
          <w:rFonts w:ascii="Arial" w:eastAsia="Arial" w:hAnsi="Arial" w:cs="Arial"/>
          <w:b/>
        </w:rPr>
        <w:t>Table game.</w:t>
      </w:r>
      <w:bookmarkEnd w:id="2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" w:name="_STATUTE_CONTENT__448b8f52_5318_4fd5_9ec"/>
      <w:r>
        <w:rPr>
          <w:rFonts w:ascii="Arial" w:eastAsia="Arial" w:hAnsi="Arial" w:cs="Arial"/>
        </w:rPr>
        <w:t xml:space="preserve">"Table game" means a card game, dice game or other game of chance, including, but not limited to, blackjack, poker, dice, craps, roulette, baccarat, money wheels, wheel of fortune or </w:t>
      </w:r>
      <w:r>
        <w:rPr>
          <w:rFonts w:ascii="Arial" w:eastAsia="Arial" w:hAnsi="Arial" w:cs="Arial"/>
          <w:strike/>
        </w:rPr>
        <w:t>any electronic facsimile of such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 electronic table</w:t>
      </w:r>
      <w:r>
        <w:rPr>
          <w:rFonts w:ascii="Arial" w:eastAsia="Arial" w:hAnsi="Arial" w:cs="Arial"/>
        </w:rPr>
        <w:t xml:space="preserve"> game located in a casino.  Table games are governed under this chapter and excluded from the definition of "game of chance" in </w:t>
      </w:r>
      <w:bookmarkStart w:id="22" w:name="_CROSS_REFERENCE__56fd7732_9086_41b9_a77"/>
      <w:r>
        <w:rPr>
          <w:rFonts w:ascii="Arial" w:eastAsia="Arial" w:hAnsi="Arial" w:cs="Arial"/>
        </w:rPr>
        <w:t xml:space="preserve">Title 17, section </w:t>
      </w:r>
      <w:r>
        <w:rPr>
          <w:rFonts w:ascii="Arial" w:eastAsia="Arial" w:hAnsi="Arial" w:cs="Arial"/>
          <w:strike/>
        </w:rPr>
        <w:t>330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1831</w:t>
      </w:r>
      <w:r>
        <w:rPr>
          <w:rFonts w:ascii="Arial" w:eastAsia="Arial" w:hAnsi="Arial" w:cs="Arial"/>
        </w:rPr>
        <w:t xml:space="preserve">, subsection </w:t>
      </w:r>
      <w:r>
        <w:rPr>
          <w:rFonts w:ascii="Arial" w:eastAsia="Arial" w:hAnsi="Arial" w:cs="Arial"/>
          <w:strike/>
        </w:rPr>
        <w:t>2</w:t>
      </w:r>
      <w:bookmarkEnd w:id="2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</w:rPr>
        <w:t>.</w:t>
      </w:r>
      <w:bookmarkEnd w:id="21"/>
      <w:bookmarkEnd w:id="2"/>
      <w:bookmarkEnd w:id="6"/>
      <w:bookmarkEnd w:id="15"/>
      <w:bookmarkEnd w:id="18"/>
      <w:bookmarkEnd w:id="1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LR2200,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Certain Definitions in the Statutes Governing the Gambling Control Board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85F2E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