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Remote Participation in Maine State Cultural Affairs Council Meetings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397 - L.D. 1224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Authorize Remote Participation in Maine State Cultural Affairs Council Meetings</w:t>
      </w:r>
    </w:p>
    <w:p w:rsidR="00CB7C72" w:rsidP="00CB7C72">
      <w:pPr>
        <w:ind w:left="360"/>
        <w:rPr>
          <w:rFonts w:ascii="Arial" w:eastAsia="Arial" w:hAnsi="Arial" w:cs="Arial"/>
        </w:rPr>
      </w:pPr>
      <w:bookmarkStart w:id="0" w:name="_ENACTING_CLAUSE__131d88b6_8555_4628_8d3"/>
      <w:bookmarkStart w:id="1" w:name="_PAR__1_3c5bf496_1452_438b_8135_a69a37ad"/>
      <w:bookmarkStart w:id="2" w:name="_DOC_BODY_CONTAINER__8ea5a776_dfec_468b_"/>
      <w:r>
        <w:rPr>
          <w:rFonts w:ascii="Arial" w:eastAsia="Arial" w:hAnsi="Arial" w:cs="Arial"/>
          <w:b/>
        </w:rPr>
        <w:t>Be it enacted by the People of the State of Maine as follows:</w:t>
      </w:r>
    </w:p>
    <w:p w:rsidR="00CB7C72" w:rsidP="00CB7C72">
      <w:pPr>
        <w:ind w:left="360" w:firstLine="360"/>
        <w:rPr>
          <w:rFonts w:ascii="Arial" w:eastAsia="Arial" w:hAnsi="Arial" w:cs="Arial"/>
        </w:rPr>
      </w:pPr>
      <w:bookmarkStart w:id="3" w:name="_BILL_SECTION_HEADER__2c5c80f2_dd4a_40d4"/>
      <w:bookmarkStart w:id="4" w:name="_PAR__2_62f10ebb_9349_49de_b0dc_d2221cc6"/>
      <w:bookmarkStart w:id="5" w:name="_BILL_SECTION__03102737_3d33_43be_a5d6_f"/>
      <w:bookmarkStart w:id="6" w:name="_DOC_BODY_CONTENT__23f02a04_01f7_41ee_ae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152ab398_e9e5_4796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27 MRSA §553,</w:t>
      </w:r>
      <w:r>
        <w:rPr>
          <w:rFonts w:ascii="Arial" w:eastAsia="Arial" w:hAnsi="Arial" w:cs="Arial"/>
        </w:rPr>
        <w:t xml:space="preserve"> as amended by PL 1999, c. 573, §§2 and 3, is further amended by amending the section headnote to read:</w:t>
      </w:r>
    </w:p>
    <w:p w:rsidR="00CB7C72" w:rsidP="00CB7C72">
      <w:pPr>
        <w:ind w:left="1080" w:hanging="720"/>
        <w:rPr>
          <w:rFonts w:ascii="Arial" w:eastAsia="Arial" w:hAnsi="Arial" w:cs="Arial"/>
        </w:rPr>
      </w:pPr>
      <w:bookmarkStart w:id="8" w:name="_STATUTE_S__66e30be9_9147_4139_afaa_6a5a"/>
      <w:bookmarkStart w:id="9" w:name="_PAR__3_46bd53f3_8536_4ba0_aee7_04a05372"/>
      <w:bookmarkEnd w:id="3"/>
      <w:bookmarkEnd w:id="4"/>
      <w:r>
        <w:rPr>
          <w:rFonts w:ascii="Arial" w:eastAsia="Arial" w:hAnsi="Arial" w:cs="Arial"/>
          <w:b/>
        </w:rPr>
        <w:t>§</w:t>
      </w:r>
      <w:bookmarkStart w:id="10" w:name="_STATUTE_NUMBER__d740a44f_9849_49fc_9e92"/>
      <w:r>
        <w:rPr>
          <w:rFonts w:ascii="Arial" w:eastAsia="Arial" w:hAnsi="Arial" w:cs="Arial"/>
          <w:b/>
        </w:rPr>
        <w:t>553</w:t>
      </w:r>
      <w:bookmarkEnd w:id="10"/>
      <w:r>
        <w:rPr>
          <w:rFonts w:ascii="Arial" w:eastAsia="Arial" w:hAnsi="Arial" w:cs="Arial"/>
          <w:b/>
        </w:rPr>
        <w:t xml:space="preserve">.  </w:t>
      </w:r>
      <w:bookmarkStart w:id="11" w:name="_STATUTE_HEADNOTE__e7a8949d_95c0_4991_a1"/>
      <w:r>
        <w:rPr>
          <w:rFonts w:ascii="Arial" w:eastAsia="Arial" w:hAnsi="Arial" w:cs="Arial"/>
          <w:b/>
        </w:rPr>
        <w:t>Membership</w:t>
      </w:r>
      <w:r>
        <w:rPr>
          <w:rFonts w:ascii="Arial" w:eastAsia="Arial" w:hAnsi="Arial" w:cs="Arial"/>
          <w:b/>
          <w:u w:val="single"/>
        </w:rPr>
        <w:t>; meetings</w:t>
      </w:r>
      <w:bookmarkEnd w:id="11"/>
    </w:p>
    <w:p w:rsidR="00CB7C72" w:rsidP="00CB7C72">
      <w:pPr>
        <w:ind w:left="360" w:firstLine="360"/>
        <w:rPr>
          <w:rFonts w:ascii="Arial" w:eastAsia="Arial" w:hAnsi="Arial" w:cs="Arial"/>
        </w:rPr>
      </w:pPr>
      <w:bookmarkStart w:id="12" w:name="_BILL_SECTION_HEADER__92a1d42f_088d_42c8"/>
      <w:bookmarkStart w:id="13" w:name="_PAR__4_bc846005_6cbb_448a_9333_4bd6fdcc"/>
      <w:bookmarkStart w:id="14" w:name="_BILL_SECTION__52d0a084_1706_439f_b1db_9"/>
      <w:bookmarkEnd w:id="5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959df08d_7a2b_4ec4"/>
      <w:r>
        <w:rPr>
          <w:rFonts w:ascii="Arial" w:eastAsia="Arial" w:hAnsi="Arial" w:cs="Arial"/>
          <w:b/>
          <w:sz w:val="24"/>
        </w:rPr>
        <w:t>2</w:t>
      </w:r>
      <w:bookmarkEnd w:id="15"/>
      <w:r>
        <w:rPr>
          <w:rFonts w:ascii="Arial" w:eastAsia="Arial" w:hAnsi="Arial" w:cs="Arial"/>
          <w:b/>
          <w:sz w:val="24"/>
        </w:rPr>
        <w:t>.  27 MRSA §553, sub-§3</w:t>
      </w:r>
      <w:r>
        <w:rPr>
          <w:rFonts w:ascii="Arial" w:eastAsia="Arial" w:hAnsi="Arial" w:cs="Arial"/>
        </w:rPr>
        <w:t xml:space="preserve"> is enacted to read:</w:t>
      </w:r>
    </w:p>
    <w:p w:rsidR="00000000" w:rsidP="00CB7C72">
      <w:pPr>
        <w:ind w:left="360" w:firstLine="360"/>
        <w:rPr>
          <w:rFonts w:ascii="Arial" w:eastAsia="Arial" w:hAnsi="Arial" w:cs="Arial"/>
        </w:rPr>
      </w:pPr>
      <w:bookmarkStart w:id="16" w:name="_STATUTE_NUMBER__eba984d1_493c_44df_aaa1"/>
      <w:bookmarkStart w:id="17" w:name="_STATUTE_SS__40dfbf9b_c1c9_4bdd_98e5_2dc"/>
      <w:bookmarkStart w:id="18" w:name="_PAR__5_1cf5122a_3dcc_4c20_80fa_fa01ecee"/>
      <w:bookmarkEnd w:id="12"/>
      <w:bookmarkEnd w:id="13"/>
      <w:r>
        <w:rPr>
          <w:rFonts w:ascii="Arial" w:eastAsia="Arial" w:hAnsi="Arial" w:cs="Arial"/>
          <w:b/>
          <w:u w:val="single"/>
        </w:rPr>
        <w:t>3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9" w:name="_STATUTE_HEADNOTE__44b42994_0cff_423f_8d"/>
      <w:r>
        <w:rPr>
          <w:rFonts w:ascii="Arial" w:eastAsia="Arial" w:hAnsi="Arial" w:cs="Arial"/>
          <w:b/>
          <w:u w:val="single"/>
        </w:rPr>
        <w:t xml:space="preserve">Meetings. </w:t>
      </w:r>
      <w:r>
        <w:rPr>
          <w:rFonts w:ascii="Arial" w:eastAsia="Arial" w:hAnsi="Arial" w:cs="Arial"/>
          <w:u w:val="single"/>
        </w:rPr>
        <w:t xml:space="preserve"> </w:t>
      </w:r>
      <w:bookmarkStart w:id="20" w:name="_STATUTE_CONTENT__88ff62d8_71cb_43a2_89a"/>
      <w:bookmarkEnd w:id="19"/>
      <w:r>
        <w:rPr>
          <w:rFonts w:ascii="Arial" w:eastAsia="Arial" w:hAnsi="Arial" w:cs="Arial"/>
          <w:u w:val="single"/>
        </w:rPr>
        <w:t>The Maine State Cultural Affairs Council may conduct a public proceeding using telephonic, video, electronic or other means of remote participation when 2 or more members are physically present at the location of the public proceeding identified in the notice required under Title 1, section 4 and the total number of members participating in the meeting</w:t>
      </w:r>
      <w:r>
        <w:rPr>
          <w:rFonts w:ascii="Arial" w:eastAsia="Arial" w:hAnsi="Arial" w:cs="Arial"/>
          <w:u w:val="single"/>
        </w:rPr>
        <w:t xml:space="preserve">, both </w:t>
      </w:r>
      <w:r>
        <w:rPr>
          <w:rFonts w:ascii="Arial" w:eastAsia="Arial" w:hAnsi="Arial" w:cs="Arial"/>
          <w:u w:val="single"/>
        </w:rPr>
        <w:t>physically present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participating</w:t>
      </w:r>
      <w:r>
        <w:rPr>
          <w:rFonts w:ascii="Arial" w:eastAsia="Arial" w:hAnsi="Arial" w:cs="Arial"/>
          <w:u w:val="single"/>
        </w:rPr>
        <w:t xml:space="preserve"> remotely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constitute a quorum.</w:t>
      </w:r>
      <w:bookmarkEnd w:id="2"/>
      <w:bookmarkEnd w:id="6"/>
      <w:bookmarkEnd w:id="14"/>
      <w:bookmarkEnd w:id="17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LR1261,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Remote Participation in Maine State Cultural Affairs Council Meetings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B7C72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