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Access to HIV Prevention Medications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378 - L.D. 1115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Access to HIV Prevention Medications</w:t>
      </w:r>
    </w:p>
    <w:p w:rsidR="002002F0" w:rsidP="002002F0">
      <w:pPr>
        <w:ind w:left="360"/>
        <w:rPr>
          <w:rFonts w:ascii="Arial" w:eastAsia="Arial" w:hAnsi="Arial" w:cs="Arial"/>
        </w:rPr>
      </w:pPr>
      <w:bookmarkStart w:id="0" w:name="_ENACTING_CLAUSE__60101dd3_7e3b_44ed_bed"/>
      <w:bookmarkStart w:id="1" w:name="_PAR__1_c3c62203_cbd9_4c53_b42b_b26b1b23"/>
      <w:bookmarkStart w:id="2" w:name="_DOC_BODY_CONTAINER__636a095b_6b86_49ed_"/>
      <w:r>
        <w:rPr>
          <w:rFonts w:ascii="Arial" w:eastAsia="Arial" w:hAnsi="Arial" w:cs="Arial"/>
          <w:b/>
        </w:rPr>
        <w:t>Be it enacted by the People of the State of Maine as follows:</w:t>
      </w:r>
    </w:p>
    <w:p w:rsidR="002002F0" w:rsidP="002002F0">
      <w:pPr>
        <w:ind w:left="360" w:firstLine="360"/>
        <w:rPr>
          <w:rFonts w:ascii="Arial" w:eastAsia="Arial" w:hAnsi="Arial" w:cs="Arial"/>
        </w:rPr>
      </w:pPr>
      <w:bookmarkStart w:id="3" w:name="_BILL_SECTION_HEADER__eb757b69_8401_461f"/>
      <w:bookmarkStart w:id="4" w:name="_PAR__2_3a0256bd_637d_4c86_bec5_8d59c6f7"/>
      <w:bookmarkStart w:id="5" w:name="_BILL_SECTION__471aa4cb_076a_43f2_b66b_4"/>
      <w:bookmarkStart w:id="6" w:name="_DOC_BODY_CONTENT__4de53f31_fefe_4e42_b3"/>
      <w:bookmarkEnd w:id="0"/>
      <w:bookmarkEnd w:id="1"/>
      <w:r>
        <w:rPr>
          <w:rFonts w:ascii="Arial" w:eastAsia="Arial" w:hAnsi="Arial" w:cs="Arial"/>
          <w:b/>
          <w:sz w:val="24"/>
        </w:rPr>
        <w:t xml:space="preserve">Sec. </w:t>
      </w:r>
      <w:bookmarkStart w:id="7" w:name="_BILL_SECTION_NUMBER__c43094c5_016c_44ab"/>
      <w:r>
        <w:rPr>
          <w:rFonts w:ascii="Arial" w:eastAsia="Arial" w:hAnsi="Arial" w:cs="Arial"/>
          <w:b/>
          <w:sz w:val="24"/>
        </w:rPr>
        <w:t>1</w:t>
      </w:r>
      <w:bookmarkEnd w:id="7"/>
      <w:r>
        <w:rPr>
          <w:rFonts w:ascii="Arial" w:eastAsia="Arial" w:hAnsi="Arial" w:cs="Arial"/>
          <w:b/>
          <w:sz w:val="24"/>
        </w:rPr>
        <w:t>.  22 MRSA §3174-M, sub-§1-A, ¶B,</w:t>
      </w:r>
      <w:r>
        <w:rPr>
          <w:rFonts w:ascii="Arial" w:eastAsia="Arial" w:hAnsi="Arial" w:cs="Arial"/>
        </w:rPr>
        <w:t xml:space="preserve"> as enacted by PL 2005, c. 386, Pt. X, §1, is amended to read:</w:t>
      </w:r>
    </w:p>
    <w:p w:rsidR="002002F0" w:rsidP="002002F0">
      <w:pPr>
        <w:ind w:left="720"/>
        <w:rPr>
          <w:rFonts w:ascii="Arial" w:eastAsia="Arial" w:hAnsi="Arial" w:cs="Arial"/>
        </w:rPr>
      </w:pPr>
      <w:bookmarkStart w:id="8" w:name="_STATUTE_NUMBER__2391d2ca_1e6e_43b0_9020"/>
      <w:bookmarkStart w:id="9" w:name="_STATUTE_P__fb7ab871_6eeb_48c0_a14e_9057"/>
      <w:bookmarkStart w:id="10" w:name="_PAR__3_ae985d45_7915_47c2_9c6d_36f8b679"/>
      <w:bookmarkEnd w:id="3"/>
      <w:bookmarkEnd w:id="4"/>
      <w:r>
        <w:rPr>
          <w:rFonts w:ascii="Arial" w:eastAsia="Arial" w:hAnsi="Arial" w:cs="Arial"/>
        </w:rPr>
        <w:t>B</w:t>
      </w:r>
      <w:bookmarkEnd w:id="8"/>
      <w:r>
        <w:rPr>
          <w:rFonts w:ascii="Arial" w:eastAsia="Arial" w:hAnsi="Arial" w:cs="Arial"/>
        </w:rPr>
        <w:t xml:space="preserve">.  </w:t>
      </w:r>
      <w:bookmarkStart w:id="11" w:name="_STATUTE_CONTENT__a947941f_ab06_4c24_87d"/>
      <w:r>
        <w:rPr>
          <w:rFonts w:ascii="Arial" w:eastAsia="Arial" w:hAnsi="Arial" w:cs="Arial"/>
        </w:rPr>
        <w:t xml:space="preserve">Be structured to maintain at least the same therapeutic categories and pharmacological classes of drugs provided on the MaineCare preferred drug list in effect on July 1, 2005; </w:t>
      </w:r>
      <w:r>
        <w:rPr>
          <w:rFonts w:ascii="Arial" w:eastAsia="Arial" w:hAnsi="Arial" w:cs="Arial"/>
          <w:strike/>
        </w:rPr>
        <w:t>and</w:t>
      </w:r>
      <w:bookmarkEnd w:id="11"/>
    </w:p>
    <w:p w:rsidR="002002F0" w:rsidP="002002F0">
      <w:pPr>
        <w:ind w:left="360" w:firstLine="360"/>
        <w:rPr>
          <w:rFonts w:ascii="Arial" w:eastAsia="Arial" w:hAnsi="Arial" w:cs="Arial"/>
        </w:rPr>
      </w:pPr>
      <w:bookmarkStart w:id="12" w:name="_BILL_SECTION_HEADER__dfd322da_64af_4c81"/>
      <w:bookmarkStart w:id="13" w:name="_PAR__4_530e6054_a6d3_4f1e_a28b_78fa783b"/>
      <w:bookmarkStart w:id="14" w:name="_BILL_SECTION__a8c88ccd_b2c2_4a3a_bd1e_3"/>
      <w:bookmarkEnd w:id="5"/>
      <w:bookmarkEnd w:id="9"/>
      <w:bookmarkEnd w:id="10"/>
      <w:r>
        <w:rPr>
          <w:rFonts w:ascii="Arial" w:eastAsia="Arial" w:hAnsi="Arial" w:cs="Arial"/>
          <w:b/>
          <w:sz w:val="24"/>
        </w:rPr>
        <w:t xml:space="preserve">Sec. </w:t>
      </w:r>
      <w:bookmarkStart w:id="15" w:name="_BILL_SECTION_NUMBER__79312869_93e9_435f"/>
      <w:r>
        <w:rPr>
          <w:rFonts w:ascii="Arial" w:eastAsia="Arial" w:hAnsi="Arial" w:cs="Arial"/>
          <w:b/>
          <w:sz w:val="24"/>
        </w:rPr>
        <w:t>2</w:t>
      </w:r>
      <w:bookmarkEnd w:id="15"/>
      <w:r>
        <w:rPr>
          <w:rFonts w:ascii="Arial" w:eastAsia="Arial" w:hAnsi="Arial" w:cs="Arial"/>
          <w:b/>
          <w:sz w:val="24"/>
        </w:rPr>
        <w:t>.  22 MRSA §3174-M, sub-§1-A, ¶C,</w:t>
      </w:r>
      <w:r>
        <w:rPr>
          <w:rFonts w:ascii="Arial" w:eastAsia="Arial" w:hAnsi="Arial" w:cs="Arial"/>
        </w:rPr>
        <w:t xml:space="preserve"> as enacted by PL 2005, c. 386, Pt. X, §1, is amended by amending subparagraph (3) to read:</w:t>
      </w:r>
    </w:p>
    <w:p w:rsidR="002002F0" w:rsidP="002002F0">
      <w:pPr>
        <w:ind w:left="1080"/>
        <w:rPr>
          <w:rFonts w:ascii="Arial" w:eastAsia="Arial" w:hAnsi="Arial" w:cs="Arial"/>
        </w:rPr>
      </w:pPr>
      <w:bookmarkStart w:id="16" w:name="_STATUTE_SP__07c91cdc_4e30_419f_9890_258"/>
      <w:bookmarkStart w:id="17" w:name="_PAR__5_f5c17227_b958_46ec_9bc5_497f3912"/>
      <w:bookmarkEnd w:id="12"/>
      <w:bookmarkEnd w:id="13"/>
      <w:r>
        <w:rPr>
          <w:rFonts w:ascii="Arial" w:eastAsia="Arial" w:hAnsi="Arial" w:cs="Arial"/>
        </w:rPr>
        <w:t>(</w:t>
      </w:r>
      <w:bookmarkStart w:id="18" w:name="_STATUTE_NUMBER__11607b98_7826_429d_b546"/>
      <w:r>
        <w:rPr>
          <w:rFonts w:ascii="Arial" w:eastAsia="Arial" w:hAnsi="Arial" w:cs="Arial"/>
        </w:rPr>
        <w:t>3</w:t>
      </w:r>
      <w:bookmarkEnd w:id="18"/>
      <w:r>
        <w:rPr>
          <w:rFonts w:ascii="Arial" w:eastAsia="Arial" w:hAnsi="Arial" w:cs="Arial"/>
        </w:rPr>
        <w:t xml:space="preserve">)  </w:t>
      </w:r>
      <w:bookmarkStart w:id="19" w:name="_STATUTE_CONTENT__ab6a83a0_afa9_433b_acd"/>
      <w:r>
        <w:rPr>
          <w:rFonts w:ascii="Arial" w:eastAsia="Arial" w:hAnsi="Arial" w:cs="Arial"/>
        </w:rPr>
        <w:t>Conform to national standards for the prescribing of atypical antipsychotic drugs</w:t>
      </w:r>
      <w:r>
        <w:rPr>
          <w:rFonts w:ascii="Arial" w:eastAsia="Arial" w:hAnsi="Arial" w:cs="Arial"/>
          <w:strike/>
        </w:rPr>
        <w:t>.</w:t>
      </w:r>
      <w:r>
        <w:rPr>
          <w:rFonts w:ascii="Arial" w:eastAsia="Arial" w:hAnsi="Arial" w:cs="Arial"/>
          <w:u w:val="single"/>
        </w:rPr>
        <w:t>; and</w:t>
      </w:r>
      <w:bookmarkEnd w:id="19"/>
    </w:p>
    <w:p w:rsidR="002002F0" w:rsidP="002002F0">
      <w:pPr>
        <w:ind w:left="360" w:firstLine="360"/>
        <w:rPr>
          <w:rFonts w:ascii="Arial" w:eastAsia="Arial" w:hAnsi="Arial" w:cs="Arial"/>
        </w:rPr>
      </w:pPr>
      <w:bookmarkStart w:id="20" w:name="_BILL_SECTION_HEADER__3b2fbed9_d140_45fe"/>
      <w:bookmarkStart w:id="21" w:name="_PAR__6_d3ff2602_3106_4dd5_8570_a21fac31"/>
      <w:bookmarkStart w:id="22" w:name="_BILL_SECTION__2bb38992_d700_4662_ae2b_2"/>
      <w:bookmarkEnd w:id="14"/>
      <w:bookmarkEnd w:id="16"/>
      <w:bookmarkEnd w:id="17"/>
      <w:r>
        <w:rPr>
          <w:rFonts w:ascii="Arial" w:eastAsia="Arial" w:hAnsi="Arial" w:cs="Arial"/>
          <w:b/>
          <w:sz w:val="24"/>
        </w:rPr>
        <w:t xml:space="preserve">Sec. </w:t>
      </w:r>
      <w:bookmarkStart w:id="23" w:name="_BILL_SECTION_NUMBER__52a72cfd_f74d_4463"/>
      <w:r>
        <w:rPr>
          <w:rFonts w:ascii="Arial" w:eastAsia="Arial" w:hAnsi="Arial" w:cs="Arial"/>
          <w:b/>
          <w:sz w:val="24"/>
        </w:rPr>
        <w:t>3</w:t>
      </w:r>
      <w:bookmarkEnd w:id="23"/>
      <w:r>
        <w:rPr>
          <w:rFonts w:ascii="Arial" w:eastAsia="Arial" w:hAnsi="Arial" w:cs="Arial"/>
          <w:b/>
          <w:sz w:val="24"/>
        </w:rPr>
        <w:t>.  22 MRSA §3174-M, sub-§1-A, ¶D</w:t>
      </w:r>
      <w:r>
        <w:rPr>
          <w:rFonts w:ascii="Arial" w:eastAsia="Arial" w:hAnsi="Arial" w:cs="Arial"/>
        </w:rPr>
        <w:t xml:space="preserve"> is enacted to read:</w:t>
      </w:r>
    </w:p>
    <w:p w:rsidR="002002F0" w:rsidP="002002F0">
      <w:pPr>
        <w:ind w:left="720"/>
        <w:rPr>
          <w:rFonts w:ascii="Arial" w:eastAsia="Arial" w:hAnsi="Arial" w:cs="Arial"/>
        </w:rPr>
      </w:pPr>
      <w:bookmarkStart w:id="24" w:name="_STATUTE_NUMBER__a4b2e441_704d_4df0_a501"/>
      <w:bookmarkStart w:id="25" w:name="_PAR__7_da906573_1d1f_47a1_a580_4444160a"/>
      <w:bookmarkStart w:id="26" w:name="_STATUTE_P__24f6e65b_a8b6_4790_8a84_55da"/>
      <w:bookmarkEnd w:id="20"/>
      <w:bookmarkEnd w:id="21"/>
      <w:r>
        <w:rPr>
          <w:rFonts w:ascii="Arial" w:eastAsia="Arial" w:hAnsi="Arial" w:cs="Arial"/>
          <w:u w:val="single"/>
        </w:rPr>
        <w:t>D</w:t>
      </w:r>
      <w:bookmarkEnd w:id="24"/>
      <w:r>
        <w:rPr>
          <w:rFonts w:ascii="Arial" w:eastAsia="Arial" w:hAnsi="Arial" w:cs="Arial"/>
          <w:u w:val="single"/>
        </w:rPr>
        <w:t xml:space="preserve">.  </w:t>
      </w:r>
      <w:bookmarkStart w:id="27" w:name="_STATUTE_CONTENT__f53159f0_fa09_4162_905"/>
      <w:r>
        <w:rPr>
          <w:rFonts w:ascii="Arial" w:eastAsia="Arial" w:hAnsi="Arial" w:cs="Arial"/>
          <w:u w:val="single"/>
        </w:rPr>
        <w:t>With respect to HIV prevention drugs as defined in Title 24-A, section 4317-D, subsection 1, paragraph B:</w:t>
      </w:r>
    </w:p>
    <w:p w:rsidR="002002F0" w:rsidP="002002F0">
      <w:pPr>
        <w:ind w:left="1080"/>
        <w:rPr>
          <w:rFonts w:ascii="Arial" w:eastAsia="Arial" w:hAnsi="Arial" w:cs="Arial"/>
        </w:rPr>
      </w:pPr>
      <w:bookmarkStart w:id="28" w:name="_STATUTE_SP__2c247e65_7e06_4270_9026_879"/>
      <w:bookmarkStart w:id="29" w:name="_PAR__8_14dcd595_1a72_4e57_9dd3_6189be17"/>
      <w:bookmarkEnd w:id="25"/>
      <w:bookmarkEnd w:id="27"/>
      <w:r>
        <w:rPr>
          <w:rFonts w:ascii="Arial" w:eastAsia="Arial" w:hAnsi="Arial" w:cs="Arial"/>
          <w:u w:val="single"/>
        </w:rPr>
        <w:t>(</w:t>
      </w:r>
      <w:bookmarkStart w:id="30" w:name="_STATUTE_NUMBER__e2ef04d4_9610_46a3_ab1d"/>
      <w:r>
        <w:rPr>
          <w:rFonts w:ascii="Arial" w:eastAsia="Arial" w:hAnsi="Arial" w:cs="Arial"/>
          <w:u w:val="single"/>
        </w:rPr>
        <w:t>1</w:t>
      </w:r>
      <w:bookmarkEnd w:id="30"/>
      <w:r>
        <w:rPr>
          <w:rFonts w:ascii="Arial" w:eastAsia="Arial" w:hAnsi="Arial" w:cs="Arial"/>
          <w:u w:val="single"/>
        </w:rPr>
        <w:t xml:space="preserve">)  </w:t>
      </w:r>
      <w:bookmarkStart w:id="31" w:name="_STATUTE_CONTENT__8a8b8601_f6b2_4af9_b20"/>
      <w:r>
        <w:rPr>
          <w:rFonts w:ascii="Arial" w:eastAsia="Arial" w:hAnsi="Arial" w:cs="Arial"/>
          <w:u w:val="single"/>
        </w:rPr>
        <w:t>Ensure that preexposure prophylaxis drugs are available; and</w:t>
      </w:r>
    </w:p>
    <w:p w:rsidR="002002F0" w:rsidP="002002F0">
      <w:pPr>
        <w:ind w:left="1080"/>
        <w:rPr>
          <w:rFonts w:ascii="Arial" w:eastAsia="Arial" w:hAnsi="Arial" w:cs="Arial"/>
        </w:rPr>
      </w:pPr>
      <w:bookmarkStart w:id="32" w:name="_STATUTE_SP__5dfe3e8f_2df6_4255_8926_a40"/>
      <w:bookmarkStart w:id="33" w:name="_PAR__9_b49617e8_b1cf_4930_8ca3_2807ee2c"/>
      <w:bookmarkEnd w:id="28"/>
      <w:bookmarkEnd w:id="29"/>
      <w:bookmarkEnd w:id="31"/>
      <w:r>
        <w:rPr>
          <w:rFonts w:ascii="Arial" w:eastAsia="Arial" w:hAnsi="Arial" w:cs="Arial"/>
          <w:u w:val="single"/>
        </w:rPr>
        <w:t>(</w:t>
      </w:r>
      <w:bookmarkStart w:id="34" w:name="_STATUTE_NUMBER__79987679_08b5_418d_b039"/>
      <w:r>
        <w:rPr>
          <w:rFonts w:ascii="Arial" w:eastAsia="Arial" w:hAnsi="Arial" w:cs="Arial"/>
          <w:u w:val="single"/>
        </w:rPr>
        <w:t>2</w:t>
      </w:r>
      <w:bookmarkEnd w:id="34"/>
      <w:r>
        <w:rPr>
          <w:rFonts w:ascii="Arial" w:eastAsia="Arial" w:hAnsi="Arial" w:cs="Arial"/>
          <w:u w:val="single"/>
        </w:rPr>
        <w:t xml:space="preserve">)  </w:t>
      </w:r>
      <w:bookmarkStart w:id="35" w:name="_STATUTE_CONTENT__2f31f63a_c60a_45f8_a01"/>
      <w:r>
        <w:rPr>
          <w:rFonts w:ascii="Arial" w:eastAsia="Arial" w:hAnsi="Arial" w:cs="Arial"/>
          <w:u w:val="single"/>
        </w:rPr>
        <w:t>Ensure that post-exposure prophylaxis drugs are available in accordance with national standards for the prescribing of post-exposure prophylaxis drugs.</w:t>
      </w:r>
    </w:p>
    <w:p w:rsidR="002002F0" w:rsidP="002002F0">
      <w:pPr>
        <w:ind w:left="360" w:firstLine="360"/>
        <w:rPr>
          <w:rFonts w:ascii="Arial" w:eastAsia="Arial" w:hAnsi="Arial" w:cs="Arial"/>
        </w:rPr>
      </w:pPr>
      <w:bookmarkStart w:id="36" w:name="_BILL_SECTION_HEADER__efb61a2b_9421_49fc"/>
      <w:bookmarkStart w:id="37" w:name="_PAR__10_0025bc31_5218_4191_beed_1edbece"/>
      <w:bookmarkStart w:id="38" w:name="_BILL_SECTION__e0f8e10b_9b91_4a42_9255_4"/>
      <w:bookmarkEnd w:id="22"/>
      <w:bookmarkEnd w:id="26"/>
      <w:bookmarkEnd w:id="32"/>
      <w:bookmarkEnd w:id="33"/>
      <w:bookmarkEnd w:id="35"/>
      <w:r>
        <w:rPr>
          <w:rFonts w:ascii="Arial" w:eastAsia="Arial" w:hAnsi="Arial" w:cs="Arial"/>
          <w:b/>
          <w:sz w:val="24"/>
        </w:rPr>
        <w:t xml:space="preserve">Sec. </w:t>
      </w:r>
      <w:bookmarkStart w:id="39" w:name="_BILL_SECTION_NUMBER__412bd4d2_c28c_4a0f"/>
      <w:r>
        <w:rPr>
          <w:rFonts w:ascii="Arial" w:eastAsia="Arial" w:hAnsi="Arial" w:cs="Arial"/>
          <w:b/>
          <w:sz w:val="24"/>
        </w:rPr>
        <w:t>4</w:t>
      </w:r>
      <w:bookmarkEnd w:id="39"/>
      <w:r>
        <w:rPr>
          <w:rFonts w:ascii="Arial" w:eastAsia="Arial" w:hAnsi="Arial" w:cs="Arial"/>
          <w:b/>
          <w:sz w:val="24"/>
        </w:rPr>
        <w:t>.  24-A MRSA §4317-D</w:t>
      </w:r>
      <w:r>
        <w:rPr>
          <w:rFonts w:ascii="Arial" w:eastAsia="Arial" w:hAnsi="Arial" w:cs="Arial"/>
        </w:rPr>
        <w:t xml:space="preserve"> is enacted to read:</w:t>
      </w:r>
    </w:p>
    <w:p w:rsidR="002002F0" w:rsidP="002002F0">
      <w:pPr>
        <w:ind w:left="1080" w:hanging="720"/>
        <w:rPr>
          <w:rFonts w:ascii="Arial" w:eastAsia="Arial" w:hAnsi="Arial" w:cs="Arial"/>
        </w:rPr>
      </w:pPr>
      <w:bookmarkStart w:id="40" w:name="_PAR__11_4130842b_8c47_43b6_bd13_04f46e5"/>
      <w:bookmarkStart w:id="41" w:name="_STATUTE_S__9053450a_0d99_4fe9_8193_77dc"/>
      <w:bookmarkEnd w:id="36"/>
      <w:bookmarkEnd w:id="37"/>
      <w:r>
        <w:rPr>
          <w:rFonts w:ascii="Arial" w:eastAsia="Arial" w:hAnsi="Arial" w:cs="Arial"/>
          <w:b/>
          <w:u w:val="single"/>
        </w:rPr>
        <w:t>§</w:t>
      </w:r>
      <w:bookmarkStart w:id="42" w:name="_STATUTE_NUMBER__04a12294_b7ac_454e_a93d"/>
      <w:r>
        <w:rPr>
          <w:rFonts w:ascii="Arial" w:eastAsia="Arial" w:hAnsi="Arial" w:cs="Arial"/>
          <w:b/>
          <w:u w:val="single"/>
        </w:rPr>
        <w:t>4317-D</w:t>
      </w:r>
      <w:bookmarkEnd w:id="42"/>
      <w:r>
        <w:rPr>
          <w:rFonts w:ascii="Arial" w:eastAsia="Arial" w:hAnsi="Arial" w:cs="Arial"/>
          <w:b/>
          <w:u w:val="single"/>
        </w:rPr>
        <w:t xml:space="preserve">.  </w:t>
      </w:r>
      <w:bookmarkStart w:id="43" w:name="_STATUTE_HEADNOTE__d5524eb2_a339_4f22_ac"/>
      <w:r>
        <w:rPr>
          <w:rFonts w:ascii="Arial" w:eastAsia="Arial" w:hAnsi="Arial" w:cs="Arial"/>
          <w:b/>
          <w:u w:val="single"/>
        </w:rPr>
        <w:t>Coverage of HIV prevention drugs</w:t>
      </w:r>
      <w:bookmarkEnd w:id="43"/>
    </w:p>
    <w:p w:rsidR="002002F0" w:rsidRPr="00497346" w:rsidP="002002F0">
      <w:pPr>
        <w:ind w:left="360" w:firstLine="360"/>
        <w:rPr>
          <w:rFonts w:ascii="Arial" w:eastAsia="Arial" w:hAnsi="Arial" w:cs="Arial"/>
        </w:rPr>
      </w:pPr>
      <w:bookmarkStart w:id="44" w:name="_STATUTE_NUMBER__c6721d7e_0121_4be8_afb9"/>
      <w:bookmarkStart w:id="45" w:name="_PAR__12_44d810f1_3996_42f4_9624_059b56c"/>
      <w:bookmarkStart w:id="46" w:name="_STATUTE_SS__211b1d3b_d25f_4fb9_ae66_561"/>
      <w:bookmarkEnd w:id="40"/>
      <w:r w:rsidRPr="00497346">
        <w:rPr>
          <w:rFonts w:ascii="Arial" w:eastAsia="Arial" w:hAnsi="Arial" w:cs="Arial"/>
          <w:b/>
          <w:u w:val="single"/>
        </w:rPr>
        <w:t>1</w:t>
      </w:r>
      <w:bookmarkEnd w:id="44"/>
      <w:r w:rsidRPr="00497346">
        <w:rPr>
          <w:rFonts w:ascii="Arial" w:eastAsia="Arial" w:hAnsi="Arial" w:cs="Arial"/>
          <w:b/>
          <w:u w:val="single"/>
        </w:rPr>
        <w:t xml:space="preserve">. </w:t>
      </w:r>
      <w:r>
        <w:rPr>
          <w:rFonts w:ascii="Arial" w:eastAsia="Arial" w:hAnsi="Arial" w:cs="Arial"/>
          <w:b/>
          <w:u w:val="single"/>
        </w:rPr>
        <w:t xml:space="preserve"> </w:t>
      </w:r>
      <w:bookmarkStart w:id="47" w:name="_STATUTE_HEADNOTE__81301444_2238_442f_9d"/>
      <w:r w:rsidRPr="00497346">
        <w:rPr>
          <w:rFonts w:ascii="Arial" w:eastAsia="Arial" w:hAnsi="Arial" w:cs="Arial"/>
          <w:b/>
          <w:u w:val="single"/>
        </w:rPr>
        <w:t>Definitions.</w:t>
      </w:r>
      <w:r>
        <w:rPr>
          <w:rFonts w:ascii="Arial" w:eastAsia="Arial" w:hAnsi="Arial" w:cs="Arial"/>
          <w:u w:val="single"/>
        </w:rPr>
        <w:t xml:space="preserve">  </w:t>
      </w:r>
      <w:bookmarkStart w:id="48" w:name="_STATUTE_CONTENT__8c780206_9e3a_4f5f_abd"/>
      <w:bookmarkEnd w:id="47"/>
      <w:r>
        <w:rPr>
          <w:rFonts w:ascii="Arial" w:eastAsia="Arial" w:hAnsi="Arial" w:cs="Arial"/>
          <w:u w:val="single"/>
        </w:rPr>
        <w:t>As used in this section, unless the context otherwise indicates, the following terms have the following meanings.</w:t>
      </w:r>
    </w:p>
    <w:p w:rsidR="002002F0" w:rsidRPr="00497346" w:rsidP="002002F0">
      <w:pPr>
        <w:ind w:left="720"/>
        <w:rPr>
          <w:rFonts w:ascii="Arial" w:eastAsia="Arial" w:hAnsi="Arial" w:cs="Arial"/>
        </w:rPr>
      </w:pPr>
      <w:bookmarkStart w:id="49" w:name="_STATUTE_NUMBER__87d4176a_8988_4d44_b7d1"/>
      <w:bookmarkStart w:id="50" w:name="_STATUTE_P__c3f2b87d_6aa2_48f9_943e_b1d9"/>
      <w:bookmarkStart w:id="51" w:name="_PAR__13_1bf1e95b_3aca_4cf6_b57d_dd96c7c"/>
      <w:bookmarkEnd w:id="45"/>
      <w:bookmarkEnd w:id="48"/>
      <w:r>
        <w:rPr>
          <w:rFonts w:ascii="Arial" w:eastAsia="Arial" w:hAnsi="Arial" w:cs="Arial"/>
          <w:u w:val="single"/>
        </w:rPr>
        <w:t>A</w:t>
      </w:r>
      <w:bookmarkEnd w:id="49"/>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52" w:name="_STATUTE_CONTENT__cb206e88_6e73_41a3_a52"/>
      <w:r>
        <w:rPr>
          <w:rFonts w:ascii="Arial" w:eastAsia="Arial" w:hAnsi="Arial" w:cs="Arial"/>
          <w:u w:val="single"/>
        </w:rPr>
        <w:t xml:space="preserve">"CDC guidelines" means </w:t>
      </w:r>
      <w:r>
        <w:rPr>
          <w:rFonts w:ascii="Arial" w:eastAsia="Arial" w:hAnsi="Arial" w:cs="Arial"/>
          <w:u w:val="single"/>
        </w:rPr>
        <w:t>g</w:t>
      </w:r>
      <w:r>
        <w:rPr>
          <w:rFonts w:ascii="Arial" w:eastAsia="Arial" w:hAnsi="Arial" w:cs="Arial"/>
          <w:u w:val="single"/>
        </w:rPr>
        <w:t xml:space="preserve">uidelines </w:t>
      </w:r>
      <w:r>
        <w:rPr>
          <w:rFonts w:ascii="Arial" w:eastAsia="Arial" w:hAnsi="Arial" w:cs="Arial"/>
          <w:u w:val="single"/>
        </w:rPr>
        <w:t>relate</w:t>
      </w:r>
      <w:r>
        <w:rPr>
          <w:rFonts w:ascii="Arial" w:eastAsia="Arial" w:hAnsi="Arial" w:cs="Arial"/>
          <w:u w:val="single"/>
        </w:rPr>
        <w:t>d</w:t>
      </w:r>
      <w:r>
        <w:rPr>
          <w:rFonts w:ascii="Arial" w:eastAsia="Arial" w:hAnsi="Arial" w:cs="Arial"/>
          <w:u w:val="single"/>
        </w:rPr>
        <w:t xml:space="preserve"> to the</w:t>
      </w:r>
      <w:r>
        <w:rPr>
          <w:rFonts w:ascii="Arial" w:eastAsia="Arial" w:hAnsi="Arial" w:cs="Arial"/>
          <w:u w:val="single"/>
        </w:rPr>
        <w:t xml:space="preserve"> </w:t>
      </w:r>
      <w:r>
        <w:rPr>
          <w:rFonts w:ascii="Arial" w:eastAsia="Arial" w:hAnsi="Arial" w:cs="Arial"/>
          <w:u w:val="single"/>
        </w:rPr>
        <w:t>n</w:t>
      </w:r>
      <w:r>
        <w:rPr>
          <w:rFonts w:ascii="Arial" w:eastAsia="Arial" w:hAnsi="Arial" w:cs="Arial"/>
          <w:u w:val="single"/>
        </w:rPr>
        <w:t xml:space="preserve">onoccupational </w:t>
      </w:r>
      <w:r>
        <w:rPr>
          <w:rFonts w:ascii="Arial" w:eastAsia="Arial" w:hAnsi="Arial" w:cs="Arial"/>
          <w:u w:val="single"/>
        </w:rPr>
        <w:t>e</w:t>
      </w:r>
      <w:r>
        <w:rPr>
          <w:rFonts w:ascii="Arial" w:eastAsia="Arial" w:hAnsi="Arial" w:cs="Arial"/>
          <w:u w:val="single"/>
        </w:rPr>
        <w:t>xposure to</w:t>
      </w:r>
      <w:r>
        <w:rPr>
          <w:rFonts w:ascii="Arial" w:eastAsia="Arial" w:hAnsi="Arial" w:cs="Arial"/>
          <w:u w:val="single"/>
        </w:rPr>
        <w:t xml:space="preserve"> potential</w:t>
      </w:r>
      <w:r>
        <w:rPr>
          <w:rFonts w:ascii="Arial" w:eastAsia="Arial" w:hAnsi="Arial" w:cs="Arial"/>
          <w:u w:val="single"/>
        </w:rPr>
        <w:t xml:space="preserve"> HIV</w:t>
      </w:r>
      <w:r>
        <w:rPr>
          <w:rFonts w:ascii="Arial" w:eastAsia="Arial" w:hAnsi="Arial" w:cs="Arial"/>
          <w:u w:val="single"/>
        </w:rPr>
        <w:t xml:space="preserve"> infection</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or any subsequent guidelines, published by the federal </w:t>
      </w:r>
      <w:r>
        <w:rPr>
          <w:rFonts w:ascii="Arial" w:eastAsia="Arial" w:hAnsi="Arial" w:cs="Arial"/>
          <w:u w:val="single"/>
        </w:rPr>
        <w:t xml:space="preserve">Department of Health and Human Services, </w:t>
      </w:r>
      <w:r>
        <w:rPr>
          <w:rFonts w:ascii="Arial" w:eastAsia="Arial" w:hAnsi="Arial" w:cs="Arial"/>
          <w:u w:val="single"/>
        </w:rPr>
        <w:t>Centers for Disease Control and Prevention.</w:t>
      </w:r>
    </w:p>
    <w:p w:rsidR="002002F0" w:rsidRPr="00497346" w:rsidP="002002F0">
      <w:pPr>
        <w:ind w:left="720"/>
        <w:rPr>
          <w:rFonts w:ascii="Arial" w:eastAsia="Arial" w:hAnsi="Arial" w:cs="Arial"/>
        </w:rPr>
      </w:pPr>
      <w:bookmarkStart w:id="53" w:name="_STATUTE_NUMBER__35736ebc_a2c4_4dc7_a96e"/>
      <w:bookmarkStart w:id="54" w:name="_STATUTE_P__742bea3f_b35f_4121_8908_0548"/>
      <w:bookmarkStart w:id="55" w:name="_PAR__14_00edd4b3_2fee_4246_8591_22b1b80"/>
      <w:bookmarkEnd w:id="50"/>
      <w:bookmarkEnd w:id="51"/>
      <w:bookmarkEnd w:id="52"/>
      <w:r>
        <w:rPr>
          <w:rFonts w:ascii="Arial" w:eastAsia="Arial" w:hAnsi="Arial" w:cs="Arial"/>
          <w:u w:val="single"/>
        </w:rPr>
        <w:t>B</w:t>
      </w:r>
      <w:bookmarkEnd w:id="53"/>
      <w:r>
        <w:rPr>
          <w:rFonts w:ascii="Arial" w:eastAsia="Arial" w:hAnsi="Arial" w:cs="Arial"/>
          <w:u w:val="single"/>
        </w:rPr>
        <w:t xml:space="preserve">. </w:t>
      </w:r>
      <w:r>
        <w:rPr>
          <w:rFonts w:ascii="Arial" w:eastAsia="Arial" w:hAnsi="Arial" w:cs="Arial"/>
          <w:u w:val="single"/>
        </w:rPr>
        <w:t xml:space="preserve"> </w:t>
      </w:r>
      <w:bookmarkStart w:id="56" w:name="_STATUTE_CONTENT__d8385fae_bd1e_4796_a35"/>
      <w:r>
        <w:rPr>
          <w:rFonts w:ascii="Arial" w:eastAsia="Arial" w:hAnsi="Arial" w:cs="Arial"/>
          <w:u w:val="single"/>
        </w:rPr>
        <w:t xml:space="preserve">"HIV prevention drug" means a preexposure prophylaxis drug, post-exposure prophylaxis drug or other drug approved for the prevention of HIV infection by the federal </w:t>
      </w:r>
      <w:r>
        <w:rPr>
          <w:rFonts w:ascii="Arial" w:eastAsia="Arial" w:hAnsi="Arial" w:cs="Arial"/>
          <w:u w:val="single"/>
        </w:rPr>
        <w:t>F</w:t>
      </w:r>
      <w:r>
        <w:rPr>
          <w:rFonts w:ascii="Arial" w:eastAsia="Arial" w:hAnsi="Arial" w:cs="Arial"/>
          <w:u w:val="single"/>
        </w:rPr>
        <w:t xml:space="preserve">ood and </w:t>
      </w:r>
      <w:r>
        <w:rPr>
          <w:rFonts w:ascii="Arial" w:eastAsia="Arial" w:hAnsi="Arial" w:cs="Arial"/>
          <w:u w:val="single"/>
        </w:rPr>
        <w:t>D</w:t>
      </w:r>
      <w:r>
        <w:rPr>
          <w:rFonts w:ascii="Arial" w:eastAsia="Arial" w:hAnsi="Arial" w:cs="Arial"/>
          <w:u w:val="single"/>
        </w:rPr>
        <w:t xml:space="preserve">rug </w:t>
      </w:r>
      <w:r>
        <w:rPr>
          <w:rFonts w:ascii="Arial" w:eastAsia="Arial" w:hAnsi="Arial" w:cs="Arial"/>
          <w:u w:val="single"/>
        </w:rPr>
        <w:t>A</w:t>
      </w:r>
      <w:r>
        <w:rPr>
          <w:rFonts w:ascii="Arial" w:eastAsia="Arial" w:hAnsi="Arial" w:cs="Arial"/>
          <w:u w:val="single"/>
        </w:rPr>
        <w:t>dministration.</w:t>
      </w:r>
    </w:p>
    <w:p w:rsidR="002002F0" w:rsidRPr="00497346" w:rsidP="002002F0">
      <w:pPr>
        <w:ind w:left="720"/>
        <w:rPr>
          <w:rFonts w:ascii="Arial" w:eastAsia="Arial" w:hAnsi="Arial" w:cs="Arial"/>
        </w:rPr>
      </w:pPr>
      <w:bookmarkStart w:id="57" w:name="_STATUTE_NUMBER__29271f3b_6665_4105_b23b"/>
      <w:bookmarkStart w:id="58" w:name="_STATUTE_P__7b9d069e_63c6_4a5b_9984_266b"/>
      <w:bookmarkStart w:id="59" w:name="_PAR__15_c7dedcf8_2ae4_472e_935b_70afbc2"/>
      <w:bookmarkEnd w:id="54"/>
      <w:bookmarkEnd w:id="55"/>
      <w:bookmarkEnd w:id="56"/>
      <w:r>
        <w:rPr>
          <w:rFonts w:ascii="Arial" w:eastAsia="Arial" w:hAnsi="Arial" w:cs="Arial"/>
          <w:u w:val="single"/>
        </w:rPr>
        <w:t>C</w:t>
      </w:r>
      <w:bookmarkEnd w:id="57"/>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60" w:name="_STATUTE_CONTENT__b7efd46a_bdd4_486e_a72"/>
      <w:r>
        <w:rPr>
          <w:rFonts w:ascii="Arial" w:eastAsia="Arial" w:hAnsi="Arial" w:cs="Arial"/>
          <w:u w:val="single"/>
        </w:rPr>
        <w:t>"Post-exposure prophylaxis drug" means a drug or drug combination that meets the clinical eligibility recommendations provided in CDC guidelines</w:t>
      </w:r>
      <w:r>
        <w:rPr>
          <w:rFonts w:ascii="Arial" w:eastAsia="Arial" w:hAnsi="Arial" w:cs="Arial"/>
          <w:u w:val="single"/>
        </w:rPr>
        <w:t xml:space="preserve"> following potential exposure to HIV infection</w:t>
      </w:r>
      <w:r>
        <w:rPr>
          <w:rFonts w:ascii="Arial" w:eastAsia="Arial" w:hAnsi="Arial" w:cs="Arial"/>
          <w:u w:val="single"/>
        </w:rPr>
        <w:t>.</w:t>
      </w:r>
    </w:p>
    <w:p w:rsidR="002002F0" w:rsidRPr="00497346" w:rsidP="002002F0">
      <w:pPr>
        <w:ind w:left="720"/>
        <w:rPr>
          <w:rFonts w:ascii="Arial" w:eastAsia="Arial" w:hAnsi="Arial" w:cs="Arial"/>
        </w:rPr>
      </w:pPr>
      <w:bookmarkStart w:id="61" w:name="_STATUTE_NUMBER__1cac3767_e3cd_432e_88bc"/>
      <w:bookmarkStart w:id="62" w:name="_STATUTE_P__33c1b665_15da_430b_a66b_607d"/>
      <w:bookmarkStart w:id="63" w:name="_PAR__16_df077811_4cd8_4afa_a160_daa9554"/>
      <w:bookmarkEnd w:id="58"/>
      <w:bookmarkEnd w:id="59"/>
      <w:bookmarkEnd w:id="60"/>
      <w:r>
        <w:rPr>
          <w:rFonts w:ascii="Arial" w:eastAsia="Arial" w:hAnsi="Arial" w:cs="Arial"/>
          <w:u w:val="single"/>
        </w:rPr>
        <w:t>D</w:t>
      </w:r>
      <w:bookmarkEnd w:id="61"/>
      <w:r>
        <w:rPr>
          <w:rFonts w:ascii="Arial" w:eastAsia="Arial" w:hAnsi="Arial" w:cs="Arial"/>
          <w:u w:val="single"/>
        </w:rPr>
        <w:t xml:space="preserve">. </w:t>
      </w:r>
      <w:r>
        <w:rPr>
          <w:rFonts w:ascii="Arial" w:eastAsia="Arial" w:hAnsi="Arial" w:cs="Arial"/>
          <w:u w:val="single"/>
        </w:rPr>
        <w:t xml:space="preserve"> </w:t>
      </w:r>
      <w:bookmarkStart w:id="64" w:name="_STATUTE_CONTENT__1c36a912_407a_4f58_9c3"/>
      <w:r>
        <w:rPr>
          <w:rFonts w:ascii="Arial" w:eastAsia="Arial" w:hAnsi="Arial" w:cs="Arial"/>
          <w:u w:val="single"/>
        </w:rPr>
        <w:t>"Preexposure prophylaxis drug" means a drug or drug combination that meets the clinical eligibility recommendations provided in CDC guidelines</w:t>
      </w:r>
      <w:r>
        <w:rPr>
          <w:rFonts w:ascii="Arial" w:eastAsia="Arial" w:hAnsi="Arial" w:cs="Arial"/>
          <w:u w:val="single"/>
        </w:rPr>
        <w:t xml:space="preserve"> to prevent HIV infection</w:t>
      </w:r>
      <w:r>
        <w:rPr>
          <w:rFonts w:ascii="Arial" w:eastAsia="Arial" w:hAnsi="Arial" w:cs="Arial"/>
          <w:u w:val="single"/>
        </w:rPr>
        <w:t>.</w:t>
      </w:r>
    </w:p>
    <w:p w:rsidR="002002F0" w:rsidP="002002F0">
      <w:pPr>
        <w:ind w:left="360" w:firstLine="360"/>
        <w:rPr>
          <w:rFonts w:ascii="Arial" w:eastAsia="Arial" w:hAnsi="Arial" w:cs="Arial"/>
        </w:rPr>
      </w:pPr>
      <w:bookmarkStart w:id="65" w:name="_STATUTE_NUMBER__9a195bb6_b219_4e45_9a15"/>
      <w:bookmarkStart w:id="66" w:name="_PAR__17_6e63473b_f2df_4fc9_a1bb_3c52064"/>
      <w:bookmarkStart w:id="67" w:name="_STATUTE_SS__8e2c0d23_1222_45b7_8d5f_f15"/>
      <w:bookmarkEnd w:id="46"/>
      <w:bookmarkEnd w:id="62"/>
      <w:bookmarkEnd w:id="63"/>
      <w:bookmarkEnd w:id="64"/>
      <w:r>
        <w:rPr>
          <w:rFonts w:ascii="Arial" w:eastAsia="Arial" w:hAnsi="Arial" w:cs="Arial"/>
          <w:b/>
          <w:u w:val="single"/>
        </w:rPr>
        <w:t>2</w:t>
      </w:r>
      <w:bookmarkEnd w:id="65"/>
      <w:r>
        <w:rPr>
          <w:rFonts w:ascii="Arial" w:eastAsia="Arial" w:hAnsi="Arial" w:cs="Arial"/>
          <w:b/>
          <w:u w:val="single"/>
        </w:rPr>
        <w:t xml:space="preserve">.  </w:t>
      </w:r>
      <w:bookmarkStart w:id="68" w:name="_STATUTE_HEADNOTE__b00200d0_27e5_4398_84"/>
      <w:r>
        <w:rPr>
          <w:rFonts w:ascii="Arial" w:eastAsia="Arial" w:hAnsi="Arial" w:cs="Arial"/>
          <w:b/>
          <w:u w:val="single"/>
        </w:rPr>
        <w:t xml:space="preserve">Coverage required. </w:t>
      </w:r>
      <w:r>
        <w:rPr>
          <w:rFonts w:ascii="Arial" w:eastAsia="Arial" w:hAnsi="Arial" w:cs="Arial"/>
          <w:u w:val="single"/>
        </w:rPr>
        <w:t xml:space="preserve"> </w:t>
      </w:r>
      <w:bookmarkStart w:id="69" w:name="_STATUTE_CONTENT__cd8384cc_c52f_4f47_ac8"/>
      <w:bookmarkEnd w:id="68"/>
      <w:r>
        <w:rPr>
          <w:rFonts w:ascii="Arial" w:eastAsia="Arial" w:hAnsi="Arial" w:cs="Arial"/>
          <w:u w:val="single"/>
        </w:rPr>
        <w:t>A carrier offering a health plan in this State shall provide coverage for an HIV prevention drug that has been prescribed by a provider.  Coverage under this section is subject to the following.</w:t>
      </w:r>
    </w:p>
    <w:p w:rsidR="002002F0" w:rsidP="002002F0">
      <w:pPr>
        <w:ind w:left="720"/>
        <w:rPr>
          <w:rFonts w:ascii="Arial" w:eastAsia="Arial" w:hAnsi="Arial" w:cs="Arial"/>
        </w:rPr>
      </w:pPr>
      <w:bookmarkStart w:id="70" w:name="_STATUTE_NUMBER__c6ad9e04_b78d_4012_b469"/>
      <w:bookmarkStart w:id="71" w:name="_PAR__18_023cc79e_7eb3_4825_97aa_43986de"/>
      <w:bookmarkStart w:id="72" w:name="_STATUTE_P__85d8f234_ae5f_4895_8520_f023"/>
      <w:bookmarkEnd w:id="66"/>
      <w:bookmarkEnd w:id="69"/>
      <w:r>
        <w:rPr>
          <w:rFonts w:ascii="Arial" w:eastAsia="Arial" w:hAnsi="Arial" w:cs="Arial"/>
          <w:u w:val="single"/>
        </w:rPr>
        <w:t>A</w:t>
      </w:r>
      <w:bookmarkEnd w:id="70"/>
      <w:r>
        <w:rPr>
          <w:rFonts w:ascii="Arial" w:eastAsia="Arial" w:hAnsi="Arial" w:cs="Arial"/>
          <w:u w:val="single"/>
        </w:rPr>
        <w:t xml:space="preserve">.  </w:t>
      </w:r>
      <w:bookmarkStart w:id="73" w:name="_PAR__1_2650dc74_55f8_4970_99aa_815d8812"/>
      <w:bookmarkStart w:id="74" w:name="_STATUTE_CONTENT__ff3cf55c_1b57_4c43_96f"/>
      <w:bookmarkEnd w:id="71"/>
      <w:r>
        <w:rPr>
          <w:rFonts w:ascii="Arial" w:eastAsia="Arial" w:hAnsi="Arial" w:cs="Arial"/>
          <w:u w:val="single"/>
        </w:rPr>
        <w:t>If the federal Food and Drug Administration has approved one or more HIV prevention drugs that use the same method of administration, a carrier is not required to cover all approved drugs as long as the carrier covers at least one approved drug for each method of administration with no out-of-pocket cost.</w:t>
      </w:r>
    </w:p>
    <w:p w:rsidR="002002F0" w:rsidP="002002F0">
      <w:pPr>
        <w:ind w:left="720"/>
        <w:rPr>
          <w:rFonts w:ascii="Arial" w:eastAsia="Arial" w:hAnsi="Arial" w:cs="Arial"/>
        </w:rPr>
      </w:pPr>
      <w:bookmarkStart w:id="75" w:name="_STATUTE_NUMBER__d823007f_ff05_4878_a332"/>
      <w:bookmarkStart w:id="76" w:name="_STATUTE_P__144d7cee_89be_4b81_a41f_f069"/>
      <w:bookmarkStart w:id="77" w:name="_PAR__2_891a73cb_0085_43bc_8c39_79a8d508"/>
      <w:bookmarkEnd w:id="72"/>
      <w:bookmarkEnd w:id="73"/>
      <w:bookmarkEnd w:id="74"/>
      <w:r>
        <w:rPr>
          <w:rFonts w:ascii="Arial" w:eastAsia="Arial" w:hAnsi="Arial" w:cs="Arial"/>
          <w:u w:val="single"/>
        </w:rPr>
        <w:t>B</w:t>
      </w:r>
      <w:bookmarkEnd w:id="75"/>
      <w:r>
        <w:rPr>
          <w:rFonts w:ascii="Arial" w:eastAsia="Arial" w:hAnsi="Arial" w:cs="Arial"/>
          <w:u w:val="single"/>
        </w:rPr>
        <w:t xml:space="preserve">.  </w:t>
      </w:r>
      <w:bookmarkStart w:id="78" w:name="_STATUTE_CONTENT__8e30651f_9a29_45f6_b52"/>
      <w:r>
        <w:rPr>
          <w:rFonts w:ascii="Arial" w:eastAsia="Arial" w:hAnsi="Arial" w:cs="Arial"/>
          <w:u w:val="single"/>
        </w:rPr>
        <w:t>A carrier is not required to cover any preexposure prophylaxis drug or post-exposure prophylaxis drug dispensed or administered by an out-of-network pharmacy provider unless the enrollee's health plan provides an out-of-network pharmacy benefit.</w:t>
      </w:r>
    </w:p>
    <w:p w:rsidR="002002F0" w:rsidP="002002F0">
      <w:pPr>
        <w:ind w:left="720"/>
        <w:rPr>
          <w:rFonts w:ascii="Arial" w:eastAsia="Arial" w:hAnsi="Arial" w:cs="Arial"/>
        </w:rPr>
      </w:pPr>
      <w:bookmarkStart w:id="79" w:name="_STATUTE_NUMBER__3794d50a_2838_4aa6_8abe"/>
      <w:bookmarkStart w:id="80" w:name="_STATUTE_P__a5ba1ec2_3bf6_4f85_bdf6_0440"/>
      <w:bookmarkStart w:id="81" w:name="_PAR__3_f69db1af_43e3_44a6_b5ac_ed52a7e2"/>
      <w:bookmarkEnd w:id="76"/>
      <w:bookmarkEnd w:id="77"/>
      <w:bookmarkEnd w:id="78"/>
      <w:r>
        <w:rPr>
          <w:rFonts w:ascii="Arial" w:eastAsia="Arial" w:hAnsi="Arial" w:cs="Arial"/>
          <w:u w:val="single"/>
        </w:rPr>
        <w:t>C</w:t>
      </w:r>
      <w:bookmarkEnd w:id="79"/>
      <w:r>
        <w:rPr>
          <w:rFonts w:ascii="Arial" w:eastAsia="Arial" w:hAnsi="Arial" w:cs="Arial"/>
          <w:u w:val="single"/>
        </w:rPr>
        <w:t xml:space="preserve">.  </w:t>
      </w:r>
      <w:bookmarkStart w:id="82" w:name="_STATUTE_CONTENT__37c75f16_0ecd_4a68_aba"/>
      <w:r>
        <w:rPr>
          <w:rFonts w:ascii="Arial" w:eastAsia="Arial" w:hAnsi="Arial" w:cs="Arial"/>
          <w:u w:val="single"/>
        </w:rPr>
        <w:t>A carrier may not prohibit, or permit a pharmacy benefits manager to prohibit, a pharmacy provider from dispensing or administering any HIV prevention drugs.</w:t>
      </w:r>
    </w:p>
    <w:p w:rsidR="002002F0" w:rsidP="002002F0">
      <w:pPr>
        <w:ind w:left="360" w:firstLine="360"/>
        <w:rPr>
          <w:rFonts w:ascii="Arial" w:eastAsia="Arial" w:hAnsi="Arial" w:cs="Arial"/>
        </w:rPr>
      </w:pPr>
      <w:bookmarkStart w:id="83" w:name="_STATUTE_NUMBER__82f70ce2_f378_4220_9d98"/>
      <w:bookmarkStart w:id="84" w:name="_STATUTE_SS__ae669526_ddf6_4370_a84f_c96"/>
      <w:bookmarkStart w:id="85" w:name="_PAR__4_0f16daed_bd1a_4984_8073_17f406ec"/>
      <w:bookmarkEnd w:id="67"/>
      <w:bookmarkEnd w:id="80"/>
      <w:bookmarkEnd w:id="81"/>
      <w:bookmarkEnd w:id="82"/>
      <w:r w:rsidRPr="00497346">
        <w:rPr>
          <w:rFonts w:ascii="Arial" w:eastAsia="Arial" w:hAnsi="Arial" w:cs="Arial"/>
          <w:b/>
          <w:u w:val="single"/>
        </w:rPr>
        <w:t>3</w:t>
      </w:r>
      <w:bookmarkEnd w:id="83"/>
      <w:r w:rsidRPr="00497346">
        <w:rPr>
          <w:rFonts w:ascii="Arial" w:eastAsia="Arial" w:hAnsi="Arial" w:cs="Arial"/>
          <w:b/>
          <w:u w:val="single"/>
        </w:rPr>
        <w:t xml:space="preserve">. </w:t>
      </w:r>
      <w:r>
        <w:rPr>
          <w:rFonts w:ascii="Arial" w:eastAsia="Arial" w:hAnsi="Arial" w:cs="Arial"/>
          <w:b/>
          <w:u w:val="single"/>
        </w:rPr>
        <w:t xml:space="preserve"> </w:t>
      </w:r>
      <w:bookmarkStart w:id="86" w:name="_STATUTE_HEADNOTE__88df8b64_a0b4_4a13_ac"/>
      <w:r w:rsidRPr="00497346">
        <w:rPr>
          <w:rFonts w:ascii="Arial" w:eastAsia="Arial" w:hAnsi="Arial" w:cs="Arial"/>
          <w:b/>
          <w:u w:val="single"/>
        </w:rPr>
        <w:t>Limits on prior authorization and step therapy</w:t>
      </w:r>
      <w:r>
        <w:rPr>
          <w:rFonts w:ascii="Arial" w:eastAsia="Arial" w:hAnsi="Arial" w:cs="Arial"/>
          <w:b/>
          <w:u w:val="single"/>
        </w:rPr>
        <w:t xml:space="preserve"> requirements</w:t>
      </w:r>
      <w:r w:rsidRPr="00497346">
        <w:rPr>
          <w:rFonts w:ascii="Arial" w:eastAsia="Arial" w:hAnsi="Arial" w:cs="Arial"/>
          <w:b/>
          <w:u w:val="single"/>
        </w:rPr>
        <w:t>.</w:t>
      </w:r>
      <w:r>
        <w:rPr>
          <w:rFonts w:ascii="Arial" w:eastAsia="Arial" w:hAnsi="Arial" w:cs="Arial"/>
          <w:u w:val="single"/>
        </w:rPr>
        <w:t xml:space="preserve">  </w:t>
      </w:r>
      <w:bookmarkStart w:id="87" w:name="_STATUTE_CONTENT__e5e5af00_b912_4149_b1b"/>
      <w:bookmarkEnd w:id="86"/>
      <w:r>
        <w:rPr>
          <w:rFonts w:ascii="Arial" w:eastAsia="Arial" w:hAnsi="Arial" w:cs="Arial"/>
          <w:u w:val="single"/>
        </w:rPr>
        <w:t>Notwithstanding any requirements in section 4304 or 4320-N to the contrary, a carrier may not subject any HIV prevention drug to any prior authorization or step therapy requirement except as provided in this subsection.  If the federal Food and Drug Administration has approved one or more methods of administering HIV prevention drugs, a carrier is not required to cover all of the approved drugs without prior authorization or step therapy requirements as long as the carrier covers at least one approved drug for each method of administration without prior authorization or step therapy requirements. If prior authorization or step therapy requirements are met for a particular enrollee with regard to a particular HIV prevention drug, the carrier is required to cover that drug with no out-of-pocket cost to the enrollee.</w:t>
      </w:r>
    </w:p>
    <w:p w:rsidR="002002F0" w:rsidP="002002F0">
      <w:pPr>
        <w:ind w:left="360" w:firstLine="360"/>
        <w:rPr>
          <w:rFonts w:ascii="Arial" w:eastAsia="Arial" w:hAnsi="Arial" w:cs="Arial"/>
        </w:rPr>
      </w:pPr>
      <w:bookmarkStart w:id="88" w:name="_STATUTE_NUMBER__83d7f131_f0b2_4d26_97c2"/>
      <w:bookmarkStart w:id="89" w:name="_STATUTE_SS__7d27126e_e991_4bcc_aaaf_4fe"/>
      <w:bookmarkEnd w:id="84"/>
      <w:bookmarkEnd w:id="85"/>
      <w:bookmarkEnd w:id="87"/>
      <w:r>
        <w:rPr>
          <w:rFonts w:ascii="Arial" w:eastAsia="Arial" w:hAnsi="Arial" w:cs="Arial"/>
          <w:b/>
          <w:u w:val="single"/>
        </w:rPr>
        <w:t>4</w:t>
      </w:r>
      <w:bookmarkEnd w:id="88"/>
      <w:r>
        <w:rPr>
          <w:rFonts w:ascii="Arial" w:eastAsia="Arial" w:hAnsi="Arial" w:cs="Arial"/>
          <w:b/>
          <w:u w:val="single"/>
        </w:rPr>
        <w:t xml:space="preserve">.  </w:t>
      </w:r>
      <w:bookmarkStart w:id="90" w:name="_STATUTE_HEADNOTE__ee4d1b46_7808_4972_a2"/>
      <w:r>
        <w:rPr>
          <w:rFonts w:ascii="Arial" w:eastAsia="Arial" w:hAnsi="Arial" w:cs="Arial"/>
          <w:b/>
          <w:u w:val="single"/>
        </w:rPr>
        <w:t xml:space="preserve">Coverage for laboratory testing related to HIV prevention drugs. </w:t>
      </w:r>
      <w:r>
        <w:rPr>
          <w:rFonts w:ascii="Arial" w:eastAsia="Arial" w:hAnsi="Arial" w:cs="Arial"/>
          <w:u w:val="single"/>
        </w:rPr>
        <w:t xml:space="preserve"> </w:t>
      </w:r>
      <w:bookmarkStart w:id="91" w:name="_STATUTE_CONTENT__e6a2d069_aefb_4921_8b6"/>
      <w:bookmarkEnd w:id="90"/>
      <w:r>
        <w:rPr>
          <w:rFonts w:ascii="Arial" w:eastAsia="Arial" w:hAnsi="Arial" w:cs="Arial"/>
          <w:u w:val="single"/>
        </w:rPr>
        <w:t>A carrier offering a health plan in this State shall provide coverage with no out-of-pocket cost for laboratory testing recommended by a provider related to the ongoing monitoring of an enrollee who is taking an HIV prevention drug covered by this section.</w:t>
      </w:r>
    </w:p>
    <w:p w:rsidR="002002F0" w:rsidP="002002F0">
      <w:pPr>
        <w:ind w:left="360" w:firstLine="360"/>
        <w:rPr>
          <w:rFonts w:ascii="Arial" w:eastAsia="Arial" w:hAnsi="Arial" w:cs="Arial"/>
        </w:rPr>
      </w:pPr>
      <w:bookmarkStart w:id="92" w:name="_BILL_SECTION_HEADER__78c12641_67ca_4011"/>
      <w:bookmarkStart w:id="93" w:name="_PAR__5_e03e7e4b_bfb1_4966_914c_15ebe1ba"/>
      <w:bookmarkStart w:id="94" w:name="_BILL_SECTION__4531dcc0_c2aa_4e32_a12e_0"/>
      <w:bookmarkEnd w:id="38"/>
      <w:bookmarkEnd w:id="41"/>
      <w:bookmarkEnd w:id="89"/>
      <w:bookmarkEnd w:id="91"/>
      <w:r>
        <w:rPr>
          <w:rFonts w:ascii="Arial" w:eastAsia="Arial" w:hAnsi="Arial" w:cs="Arial"/>
          <w:b/>
          <w:sz w:val="24"/>
        </w:rPr>
        <w:t xml:space="preserve">Sec. </w:t>
      </w:r>
      <w:bookmarkStart w:id="95" w:name="_BILL_SECTION_NUMBER__ceca4c89_0ecf_421c"/>
      <w:r>
        <w:rPr>
          <w:rFonts w:ascii="Arial" w:eastAsia="Arial" w:hAnsi="Arial" w:cs="Arial"/>
          <w:b/>
          <w:sz w:val="24"/>
        </w:rPr>
        <w:t>5</w:t>
      </w:r>
      <w:bookmarkEnd w:id="95"/>
      <w:r>
        <w:rPr>
          <w:rFonts w:ascii="Arial" w:eastAsia="Arial" w:hAnsi="Arial" w:cs="Arial"/>
          <w:b/>
          <w:sz w:val="24"/>
        </w:rPr>
        <w:t>.  32 MRSA §13702-A, sub-§28,</w:t>
      </w:r>
      <w:r>
        <w:rPr>
          <w:rFonts w:ascii="Arial" w:eastAsia="Arial" w:hAnsi="Arial" w:cs="Arial"/>
        </w:rPr>
        <w:t xml:space="preserve"> as amended by PL 2017, c. 185, §1, is further amended to read:</w:t>
      </w:r>
    </w:p>
    <w:p w:rsidR="002002F0" w:rsidP="002002F0">
      <w:pPr>
        <w:ind w:left="360" w:firstLine="360"/>
        <w:rPr>
          <w:rFonts w:ascii="Arial" w:eastAsia="Arial" w:hAnsi="Arial" w:cs="Arial"/>
        </w:rPr>
      </w:pPr>
      <w:bookmarkStart w:id="96" w:name="_STATUTE_NUMBER__ccb5c360_5f75_4bcd_bdcb"/>
      <w:bookmarkStart w:id="97" w:name="_STATUTE_SS__82063b70_cfb2_4c4e_aa4b_822"/>
      <w:bookmarkStart w:id="98" w:name="_PAR__6_3e7bcf7b_3751_42de_8556_f6701a17"/>
      <w:bookmarkEnd w:id="92"/>
      <w:bookmarkEnd w:id="93"/>
      <w:r>
        <w:rPr>
          <w:rFonts w:ascii="Arial" w:eastAsia="Arial" w:hAnsi="Arial" w:cs="Arial"/>
          <w:b/>
        </w:rPr>
        <w:t>28</w:t>
      </w:r>
      <w:bookmarkEnd w:id="96"/>
      <w:r>
        <w:rPr>
          <w:rFonts w:ascii="Arial" w:eastAsia="Arial" w:hAnsi="Arial" w:cs="Arial"/>
          <w:b/>
        </w:rPr>
        <w:t xml:space="preserve">.  </w:t>
      </w:r>
      <w:bookmarkStart w:id="99" w:name="_STATUTE_HEADNOTE__d692aa0d_5e78_436c_91"/>
      <w:r>
        <w:rPr>
          <w:rFonts w:ascii="Arial" w:eastAsia="Arial" w:hAnsi="Arial" w:cs="Arial"/>
          <w:b/>
        </w:rPr>
        <w:t>Practice of pharmacy.</w:t>
      </w:r>
      <w:bookmarkEnd w:id="99"/>
      <w:r>
        <w:rPr>
          <w:rFonts w:ascii="Arial" w:eastAsia="Arial" w:hAnsi="Arial" w:cs="Arial"/>
          <w:b/>
        </w:rPr>
        <w:t xml:space="preserve"> </w:t>
      </w:r>
      <w:r>
        <w:rPr>
          <w:rFonts w:ascii="Arial" w:eastAsia="Arial" w:hAnsi="Arial" w:cs="Arial"/>
        </w:rPr>
        <w:t xml:space="preserve"> </w:t>
      </w:r>
      <w:bookmarkStart w:id="100" w:name="_STATUTE_CONTENT__4be6594c_e201_49b0_8a3"/>
      <w:r>
        <w:rPr>
          <w:rFonts w:ascii="Arial" w:eastAsia="Arial" w:hAnsi="Arial" w:cs="Arial"/>
        </w:rPr>
        <w:t xml:space="preserve">"Practice of pharmacy" means the interpretation and evaluation of prescription drug orders; the compounding, dispensing and labeling of drugs and devices, except labeling by a manufacturer, packer or distributor of nonprescription drugs and commercially packaged legend drugs and devices; the participation in drug selection and drug utilization reviews; the proper and safe storage of drugs and devices and the maintenance of proper records for these drugs and devices; the administration of vaccines licensed by the United States Food and Drug Administration that are recommended by the United States Centers for Disease Control and Prevention Advisory Committee on Immunization Practices, or successor organization, for administration to adults; the performance of collaborative drug therapy management; the responsibility for advising, when necessary or regulated, of therapeutic values, content, hazards and use of drugs and devices; the ordering and dispensing of over-the-counter nicotine replacement products approved by the United States Food and Drug Administration; </w:t>
      </w:r>
      <w:r>
        <w:rPr>
          <w:rFonts w:ascii="Arial" w:eastAsia="Arial" w:hAnsi="Arial" w:cs="Arial"/>
          <w:u w:val="single"/>
        </w:rPr>
        <w:t>the prescribing, dispensing and administering of an HIV prevention drug, as defined in section 13786-E, subsection 1, paragraph B, pursuant to a standing order or collaborative practice agreement or to protocols developed by the board;</w:t>
      </w:r>
      <w:r w:rsidRPr="009C2DCE">
        <w:rPr>
          <w:rFonts w:ascii="Arial" w:eastAsia="Arial" w:hAnsi="Arial" w:cs="Arial"/>
        </w:rPr>
        <w:t xml:space="preserve"> </w:t>
      </w:r>
      <w:r>
        <w:rPr>
          <w:rFonts w:ascii="Arial" w:eastAsia="Arial" w:hAnsi="Arial" w:cs="Arial"/>
        </w:rPr>
        <w:t>and the offering or performing of those acts, services, operations or transactions necessary in the conduct, operation, management and control of a pharmacy.</w:t>
      </w:r>
      <w:bookmarkEnd w:id="100"/>
    </w:p>
    <w:p w:rsidR="002002F0" w:rsidP="002002F0">
      <w:pPr>
        <w:ind w:left="360" w:firstLine="360"/>
        <w:rPr>
          <w:rFonts w:ascii="Arial" w:eastAsia="Arial" w:hAnsi="Arial" w:cs="Arial"/>
        </w:rPr>
      </w:pPr>
      <w:bookmarkStart w:id="101" w:name="_BILL_SECTION_HEADER__89291640_53e8_4230"/>
      <w:bookmarkStart w:id="102" w:name="_PAR__7_331c98d8_3771_477d_a530_e5106e61"/>
      <w:bookmarkStart w:id="103" w:name="_BILL_SECTION__f77fca18_b169_4eaa_93bb_f"/>
      <w:bookmarkEnd w:id="94"/>
      <w:bookmarkEnd w:id="97"/>
      <w:bookmarkEnd w:id="98"/>
      <w:r>
        <w:rPr>
          <w:rFonts w:ascii="Arial" w:eastAsia="Arial" w:hAnsi="Arial" w:cs="Arial"/>
          <w:b/>
          <w:sz w:val="24"/>
        </w:rPr>
        <w:t xml:space="preserve">Sec. </w:t>
      </w:r>
      <w:bookmarkStart w:id="104" w:name="_BILL_SECTION_NUMBER__c56ac89a_0b70_407e"/>
      <w:r>
        <w:rPr>
          <w:rFonts w:ascii="Arial" w:eastAsia="Arial" w:hAnsi="Arial" w:cs="Arial"/>
          <w:b/>
          <w:sz w:val="24"/>
        </w:rPr>
        <w:t>6</w:t>
      </w:r>
      <w:bookmarkEnd w:id="104"/>
      <w:r>
        <w:rPr>
          <w:rFonts w:ascii="Arial" w:eastAsia="Arial" w:hAnsi="Arial" w:cs="Arial"/>
          <w:b/>
          <w:sz w:val="24"/>
        </w:rPr>
        <w:t>.  32 MRSA §13786-E</w:t>
      </w:r>
      <w:r>
        <w:rPr>
          <w:rFonts w:ascii="Arial" w:eastAsia="Arial" w:hAnsi="Arial" w:cs="Arial"/>
        </w:rPr>
        <w:t xml:space="preserve"> is enacted to read:</w:t>
      </w:r>
    </w:p>
    <w:p w:rsidR="002002F0" w:rsidP="002002F0">
      <w:pPr>
        <w:ind w:left="1080" w:hanging="720"/>
        <w:rPr>
          <w:rFonts w:ascii="Arial" w:eastAsia="Arial" w:hAnsi="Arial" w:cs="Arial"/>
          <w:b/>
        </w:rPr>
      </w:pPr>
      <w:bookmarkStart w:id="105" w:name="_PAR__8_15ee3096_aef3_4de4_bc25_5186beb4"/>
      <w:bookmarkStart w:id="106" w:name="_STATUTE_S__3c479fb1_046d_4492_8c65_74c7"/>
      <w:bookmarkEnd w:id="101"/>
      <w:bookmarkEnd w:id="102"/>
      <w:r>
        <w:rPr>
          <w:rFonts w:ascii="Arial" w:eastAsia="Arial" w:hAnsi="Arial" w:cs="Arial"/>
          <w:b/>
          <w:u w:val="single"/>
        </w:rPr>
        <w:t>§</w:t>
      </w:r>
      <w:bookmarkStart w:id="107" w:name="_STATUTE_NUMBER__672c3617_ec13_42c8_b0a7"/>
      <w:r>
        <w:rPr>
          <w:rFonts w:ascii="Arial" w:eastAsia="Arial" w:hAnsi="Arial" w:cs="Arial"/>
          <w:b/>
          <w:u w:val="single"/>
        </w:rPr>
        <w:t>13786-E</w:t>
      </w:r>
      <w:bookmarkEnd w:id="107"/>
      <w:r>
        <w:rPr>
          <w:rFonts w:ascii="Arial" w:eastAsia="Arial" w:hAnsi="Arial" w:cs="Arial"/>
          <w:b/>
          <w:u w:val="single"/>
        </w:rPr>
        <w:t xml:space="preserve">.  </w:t>
      </w:r>
      <w:bookmarkStart w:id="108" w:name="_STATUTE_HEADNOTE__c7ab0bad_5f1b_4a45_89"/>
      <w:r w:rsidRPr="00855D12">
        <w:rPr>
          <w:rFonts w:ascii="Arial" w:eastAsia="Arial" w:hAnsi="Arial" w:cs="Arial"/>
          <w:b/>
          <w:u w:val="single"/>
        </w:rPr>
        <w:t xml:space="preserve">Prescribing, dispensing and administering </w:t>
      </w:r>
      <w:r>
        <w:rPr>
          <w:rFonts w:ascii="Arial" w:eastAsia="Arial" w:hAnsi="Arial" w:cs="Arial"/>
          <w:b/>
          <w:u w:val="single"/>
        </w:rPr>
        <w:t>HIV prevention drugs</w:t>
      </w:r>
      <w:bookmarkEnd w:id="108"/>
    </w:p>
    <w:p w:rsidR="002002F0" w:rsidRPr="00487F65" w:rsidP="002002F0">
      <w:pPr>
        <w:ind w:left="360" w:firstLine="360"/>
        <w:rPr>
          <w:rFonts w:ascii="Arial" w:eastAsia="Arial" w:hAnsi="Arial" w:cs="Arial"/>
        </w:rPr>
      </w:pPr>
      <w:bookmarkStart w:id="109" w:name="_STATUTE_NUMBER__bfb195bf_c84d_4250_8fd3"/>
      <w:bookmarkStart w:id="110" w:name="_PAR__9_e771db13_eb27_41f7_b2f3_1fa13ae9"/>
      <w:bookmarkStart w:id="111" w:name="_STATUTE_SS__2f448532_eadc_4c98_ba1c_508"/>
      <w:bookmarkEnd w:id="105"/>
      <w:r w:rsidRPr="00487F65">
        <w:rPr>
          <w:rFonts w:ascii="Arial" w:eastAsia="Arial" w:hAnsi="Arial" w:cs="Arial"/>
          <w:b/>
          <w:u w:val="single"/>
        </w:rPr>
        <w:t>1</w:t>
      </w:r>
      <w:bookmarkEnd w:id="109"/>
      <w:r w:rsidRPr="00487F65">
        <w:rPr>
          <w:rFonts w:ascii="Arial" w:eastAsia="Arial" w:hAnsi="Arial" w:cs="Arial"/>
          <w:b/>
          <w:u w:val="single"/>
        </w:rPr>
        <w:t xml:space="preserve">.  </w:t>
      </w:r>
      <w:bookmarkStart w:id="112" w:name="_STATUTE_HEADNOTE__ef93b60b_22fb_4f07_84"/>
      <w:r w:rsidRPr="00487F65">
        <w:rPr>
          <w:rFonts w:ascii="Arial" w:eastAsia="Arial" w:hAnsi="Arial" w:cs="Arial"/>
          <w:b/>
          <w:u w:val="single"/>
        </w:rPr>
        <w:t>Definitions.</w:t>
      </w:r>
      <w:r>
        <w:rPr>
          <w:rFonts w:ascii="Arial" w:eastAsia="Arial" w:hAnsi="Arial" w:cs="Arial"/>
          <w:u w:val="single"/>
        </w:rPr>
        <w:t xml:space="preserve">  </w:t>
      </w:r>
      <w:bookmarkStart w:id="113" w:name="_STATUTE_CONTENT__2fe03e44_85ef_4307_b81"/>
      <w:bookmarkEnd w:id="112"/>
      <w:r>
        <w:rPr>
          <w:rFonts w:ascii="Arial" w:eastAsia="Arial" w:hAnsi="Arial" w:cs="Arial"/>
          <w:u w:val="single"/>
        </w:rPr>
        <w:t>As used in this section, unless the context otherwise indicates, the following terms have the following meanings.</w:t>
      </w:r>
    </w:p>
    <w:p w:rsidR="002002F0" w:rsidRPr="00487F65" w:rsidP="002002F0">
      <w:pPr>
        <w:ind w:left="720"/>
        <w:rPr>
          <w:rFonts w:ascii="Arial" w:eastAsia="Arial" w:hAnsi="Arial" w:cs="Arial"/>
        </w:rPr>
      </w:pPr>
      <w:bookmarkStart w:id="114" w:name="_STATUTE_NUMBER__ea786abb_d9c4_4945_901f"/>
      <w:bookmarkStart w:id="115" w:name="_STATUTE_P__21778e56_c0a1_4b83_a273_92c8"/>
      <w:bookmarkStart w:id="116" w:name="_PAR__10_decd5bae_fa23_4eea_945d_f88547f"/>
      <w:bookmarkEnd w:id="110"/>
      <w:bookmarkEnd w:id="113"/>
      <w:r>
        <w:rPr>
          <w:rFonts w:ascii="Arial" w:eastAsia="Arial" w:hAnsi="Arial" w:cs="Arial"/>
          <w:u w:val="single"/>
        </w:rPr>
        <w:t>A</w:t>
      </w:r>
      <w:bookmarkEnd w:id="114"/>
      <w:r>
        <w:rPr>
          <w:rFonts w:ascii="Arial" w:eastAsia="Arial" w:hAnsi="Arial" w:cs="Arial"/>
          <w:u w:val="single"/>
        </w:rPr>
        <w:t xml:space="preserve">.  </w:t>
      </w:r>
      <w:bookmarkStart w:id="117" w:name="_STATUTE_CONTENT__f8debb6b_4d4a_47c6_b66"/>
      <w:r>
        <w:rPr>
          <w:rFonts w:ascii="Arial" w:eastAsia="Arial" w:hAnsi="Arial" w:cs="Arial"/>
          <w:u w:val="single"/>
        </w:rPr>
        <w:t xml:space="preserve">"CDC guidelines" means </w:t>
      </w:r>
      <w:r>
        <w:rPr>
          <w:rFonts w:ascii="Arial" w:eastAsia="Arial" w:hAnsi="Arial" w:cs="Arial"/>
          <w:u w:val="single"/>
        </w:rPr>
        <w:t>g</w:t>
      </w:r>
      <w:r>
        <w:rPr>
          <w:rFonts w:ascii="Arial" w:eastAsia="Arial" w:hAnsi="Arial" w:cs="Arial"/>
          <w:u w:val="single"/>
        </w:rPr>
        <w:t xml:space="preserve">uidelines </w:t>
      </w:r>
      <w:r>
        <w:rPr>
          <w:rFonts w:ascii="Arial" w:eastAsia="Arial" w:hAnsi="Arial" w:cs="Arial"/>
          <w:u w:val="single"/>
        </w:rPr>
        <w:t>related to n</w:t>
      </w:r>
      <w:r>
        <w:rPr>
          <w:rFonts w:ascii="Arial" w:eastAsia="Arial" w:hAnsi="Arial" w:cs="Arial"/>
          <w:u w:val="single"/>
        </w:rPr>
        <w:t xml:space="preserve">onoccupational </w:t>
      </w:r>
      <w:r>
        <w:rPr>
          <w:rFonts w:ascii="Arial" w:eastAsia="Arial" w:hAnsi="Arial" w:cs="Arial"/>
          <w:u w:val="single"/>
        </w:rPr>
        <w:t>e</w:t>
      </w:r>
      <w:r>
        <w:rPr>
          <w:rFonts w:ascii="Arial" w:eastAsia="Arial" w:hAnsi="Arial" w:cs="Arial"/>
          <w:u w:val="single"/>
        </w:rPr>
        <w:t xml:space="preserve">xposure to </w:t>
      </w:r>
      <w:r>
        <w:rPr>
          <w:rFonts w:ascii="Arial" w:eastAsia="Arial" w:hAnsi="Arial" w:cs="Arial"/>
          <w:u w:val="single"/>
        </w:rPr>
        <w:t xml:space="preserve">potential </w:t>
      </w:r>
      <w:r>
        <w:rPr>
          <w:rFonts w:ascii="Arial" w:eastAsia="Arial" w:hAnsi="Arial" w:cs="Arial"/>
          <w:u w:val="single"/>
        </w:rPr>
        <w:t>HIV</w:t>
      </w:r>
      <w:r>
        <w:rPr>
          <w:rFonts w:ascii="Arial" w:eastAsia="Arial" w:hAnsi="Arial" w:cs="Arial"/>
          <w:u w:val="single"/>
        </w:rPr>
        <w:t xml:space="preserve"> infection</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or any subsequent guidelines, published by the federal </w:t>
      </w:r>
      <w:r>
        <w:rPr>
          <w:rFonts w:ascii="Arial" w:eastAsia="Arial" w:hAnsi="Arial" w:cs="Arial"/>
          <w:u w:val="single"/>
        </w:rPr>
        <w:t xml:space="preserve">Department of Health and Human Services, </w:t>
      </w:r>
      <w:r>
        <w:rPr>
          <w:rFonts w:ascii="Arial" w:eastAsia="Arial" w:hAnsi="Arial" w:cs="Arial"/>
          <w:u w:val="single"/>
        </w:rPr>
        <w:t>Centers for Disease Control and Prevention.</w:t>
      </w:r>
    </w:p>
    <w:p w:rsidR="002002F0" w:rsidRPr="00487F65" w:rsidP="002002F0">
      <w:pPr>
        <w:ind w:left="720"/>
        <w:rPr>
          <w:rFonts w:ascii="Arial" w:eastAsia="Arial" w:hAnsi="Arial" w:cs="Arial"/>
        </w:rPr>
      </w:pPr>
      <w:bookmarkStart w:id="118" w:name="_STATUTE_NUMBER__fdf75bd7_286f_4042_9999"/>
      <w:bookmarkStart w:id="119" w:name="_STATUTE_P__0aa2289e_85af_4c53_9ccb_eccb"/>
      <w:bookmarkStart w:id="120" w:name="_PAR__1_427a2fde_c056_4b6d_b885_5cb5ffc5"/>
      <w:bookmarkEnd w:id="115"/>
      <w:bookmarkEnd w:id="116"/>
      <w:bookmarkEnd w:id="117"/>
      <w:r>
        <w:rPr>
          <w:rFonts w:ascii="Arial" w:eastAsia="Arial" w:hAnsi="Arial" w:cs="Arial"/>
          <w:u w:val="single"/>
        </w:rPr>
        <w:t>B</w:t>
      </w:r>
      <w:bookmarkEnd w:id="118"/>
      <w:r>
        <w:rPr>
          <w:rFonts w:ascii="Arial" w:eastAsia="Arial" w:hAnsi="Arial" w:cs="Arial"/>
          <w:u w:val="single"/>
        </w:rPr>
        <w:t xml:space="preserve">.  </w:t>
      </w:r>
      <w:bookmarkStart w:id="121" w:name="_STATUTE_CONTENT__243363a2_a30e_4e69_ba4"/>
      <w:r>
        <w:rPr>
          <w:rFonts w:ascii="Arial" w:eastAsia="Arial" w:hAnsi="Arial" w:cs="Arial"/>
          <w:u w:val="single"/>
        </w:rPr>
        <w:t>"HIV prevention drug" means a preexposure prophylaxis drug, post-exposure prophylaxis drug or other drug approved for the prevention of HIV infection by the federal Food and Drug Administration.</w:t>
      </w:r>
    </w:p>
    <w:p w:rsidR="002002F0" w:rsidRPr="00487F65" w:rsidP="002002F0">
      <w:pPr>
        <w:ind w:left="720"/>
        <w:rPr>
          <w:rFonts w:ascii="Arial" w:eastAsia="Arial" w:hAnsi="Arial" w:cs="Arial"/>
        </w:rPr>
      </w:pPr>
      <w:bookmarkStart w:id="122" w:name="_STATUTE_NUMBER__d4cd71b4_b371_460b_9c45"/>
      <w:bookmarkStart w:id="123" w:name="_STATUTE_P__6030d848_8dd1_4539_8b3d_f549"/>
      <w:bookmarkStart w:id="124" w:name="_PAR__2_191cce10_30cc_409e_ab32_54b87b18"/>
      <w:bookmarkEnd w:id="119"/>
      <w:bookmarkEnd w:id="120"/>
      <w:bookmarkEnd w:id="121"/>
      <w:r>
        <w:rPr>
          <w:rFonts w:ascii="Arial" w:eastAsia="Arial" w:hAnsi="Arial" w:cs="Arial"/>
          <w:u w:val="single"/>
        </w:rPr>
        <w:t>C</w:t>
      </w:r>
      <w:bookmarkEnd w:id="122"/>
      <w:r>
        <w:rPr>
          <w:rFonts w:ascii="Arial" w:eastAsia="Arial" w:hAnsi="Arial" w:cs="Arial"/>
          <w:u w:val="single"/>
        </w:rPr>
        <w:t xml:space="preserve">.  </w:t>
      </w:r>
      <w:bookmarkStart w:id="125" w:name="_STATUTE_CONTENT__d332c315_46e8_4c84_853"/>
      <w:r>
        <w:rPr>
          <w:rFonts w:ascii="Arial" w:eastAsia="Arial" w:hAnsi="Arial" w:cs="Arial"/>
          <w:u w:val="single"/>
        </w:rPr>
        <w:t>"Post-exposure prophylaxis drug" means a drug or drug combination that meets the clinical eligibility recommendations provided in CDC guidelines</w:t>
      </w:r>
      <w:r>
        <w:rPr>
          <w:rFonts w:ascii="Arial" w:eastAsia="Arial" w:hAnsi="Arial" w:cs="Arial"/>
          <w:u w:val="single"/>
        </w:rPr>
        <w:t xml:space="preserve"> following potential exposure to HIV infection</w:t>
      </w:r>
      <w:r>
        <w:rPr>
          <w:rFonts w:ascii="Arial" w:eastAsia="Arial" w:hAnsi="Arial" w:cs="Arial"/>
          <w:u w:val="single"/>
        </w:rPr>
        <w:t>.</w:t>
      </w:r>
    </w:p>
    <w:p w:rsidR="002002F0" w:rsidRPr="00487F65" w:rsidP="002002F0">
      <w:pPr>
        <w:ind w:left="720"/>
        <w:rPr>
          <w:rFonts w:ascii="Arial" w:eastAsia="Arial" w:hAnsi="Arial" w:cs="Arial"/>
        </w:rPr>
      </w:pPr>
      <w:bookmarkStart w:id="126" w:name="_STATUTE_NUMBER__720ac1da_4752_40e1_9a2f"/>
      <w:bookmarkStart w:id="127" w:name="_STATUTE_P__12c6dbdf_8647_4c64_b72b_05ac"/>
      <w:bookmarkStart w:id="128" w:name="_PAR__3_c353a139_471c_41b6_a190_6dd0b63d"/>
      <w:bookmarkEnd w:id="123"/>
      <w:bookmarkEnd w:id="124"/>
      <w:bookmarkEnd w:id="125"/>
      <w:r>
        <w:rPr>
          <w:rFonts w:ascii="Arial" w:eastAsia="Arial" w:hAnsi="Arial" w:cs="Arial"/>
          <w:u w:val="single"/>
        </w:rPr>
        <w:t>D</w:t>
      </w:r>
      <w:bookmarkEnd w:id="126"/>
      <w:r>
        <w:rPr>
          <w:rFonts w:ascii="Arial" w:eastAsia="Arial" w:hAnsi="Arial" w:cs="Arial"/>
          <w:u w:val="single"/>
        </w:rPr>
        <w:t xml:space="preserve">.  </w:t>
      </w:r>
      <w:bookmarkStart w:id="129" w:name="_STATUTE_CONTENT__11705bf1_6f11_4f8e_8cb"/>
      <w:r>
        <w:rPr>
          <w:rFonts w:ascii="Arial" w:eastAsia="Arial" w:hAnsi="Arial" w:cs="Arial"/>
          <w:u w:val="single"/>
        </w:rPr>
        <w:t>"Preexposure prophylaxis drug" means a drug or drug combination that meets the clinical eligibility recommendations provided in CDC guidelines</w:t>
      </w:r>
      <w:r>
        <w:rPr>
          <w:rFonts w:ascii="Arial" w:eastAsia="Arial" w:hAnsi="Arial" w:cs="Arial"/>
          <w:u w:val="single"/>
        </w:rPr>
        <w:t xml:space="preserve"> to prevent HIV infection</w:t>
      </w:r>
      <w:r>
        <w:rPr>
          <w:rFonts w:ascii="Arial" w:eastAsia="Arial" w:hAnsi="Arial" w:cs="Arial"/>
          <w:u w:val="single"/>
        </w:rPr>
        <w:t>.</w:t>
      </w:r>
    </w:p>
    <w:p w:rsidR="002002F0" w:rsidRPr="00487F65" w:rsidP="002002F0">
      <w:pPr>
        <w:ind w:left="360" w:firstLine="360"/>
        <w:rPr>
          <w:rFonts w:ascii="Arial" w:eastAsia="Arial" w:hAnsi="Arial" w:cs="Arial"/>
        </w:rPr>
      </w:pPr>
      <w:bookmarkStart w:id="130" w:name="_STATUTE_NUMBER__1d7a3faa_69b5_4558_aec1"/>
      <w:bookmarkStart w:id="131" w:name="_PAR__4_c21514d5_3d4b_4668_b612_c5d06668"/>
      <w:bookmarkStart w:id="132" w:name="_STATUTE_SS__31ea72f1_ee87_4d2e_89fd_559"/>
      <w:bookmarkEnd w:id="111"/>
      <w:bookmarkEnd w:id="127"/>
      <w:bookmarkEnd w:id="128"/>
      <w:bookmarkEnd w:id="129"/>
      <w:r w:rsidRPr="00487F65">
        <w:rPr>
          <w:rFonts w:ascii="Arial" w:eastAsia="Arial" w:hAnsi="Arial" w:cs="Arial"/>
          <w:b/>
          <w:u w:val="single"/>
        </w:rPr>
        <w:t>2</w:t>
      </w:r>
      <w:bookmarkEnd w:id="130"/>
      <w:r w:rsidRPr="00487F65">
        <w:rPr>
          <w:rFonts w:ascii="Arial" w:eastAsia="Arial" w:hAnsi="Arial" w:cs="Arial"/>
          <w:b/>
          <w:u w:val="single"/>
        </w:rPr>
        <w:t xml:space="preserve">.  </w:t>
      </w:r>
      <w:bookmarkStart w:id="133" w:name="_STATUTE_HEADNOTE__71fbe832_14c1_4a53_a5"/>
      <w:r w:rsidRPr="00487F65">
        <w:rPr>
          <w:rFonts w:ascii="Arial" w:eastAsia="Arial" w:hAnsi="Arial" w:cs="Arial"/>
          <w:b/>
          <w:u w:val="single"/>
        </w:rPr>
        <w:t>Authorization.</w:t>
      </w:r>
      <w:r>
        <w:rPr>
          <w:rFonts w:ascii="Arial" w:eastAsia="Arial" w:hAnsi="Arial" w:cs="Arial"/>
          <w:u w:val="single"/>
        </w:rPr>
        <w:t xml:space="preserve">  </w:t>
      </w:r>
      <w:bookmarkStart w:id="134" w:name="_STATUTE_CONTENT__cbc675df_5dda_4628_80f"/>
      <w:bookmarkEnd w:id="133"/>
      <w:r>
        <w:rPr>
          <w:rFonts w:ascii="Arial" w:eastAsia="Arial" w:hAnsi="Arial" w:cs="Arial"/>
          <w:u w:val="single"/>
        </w:rPr>
        <w:t>Notwithstanding any provision of law to the contrary and as authorized by the board in accordance with rules adopted under subsection 3, a pharmacist may prescribe, dispense and administer HIV prevention drugs pursuant to a standing order or collaborative practice agreement or to protocols developed by the board for when there is no prescription drug order, standing order or collaborative practice agreement in accordance with the requirements in this subsection and may also order laboratory testing for HIV infection as necessary.</w:t>
      </w:r>
    </w:p>
    <w:p w:rsidR="002002F0" w:rsidRPr="00487F65" w:rsidP="002002F0">
      <w:pPr>
        <w:ind w:left="720"/>
        <w:rPr>
          <w:rFonts w:ascii="Arial" w:eastAsia="Arial" w:hAnsi="Arial" w:cs="Arial"/>
        </w:rPr>
      </w:pPr>
      <w:bookmarkStart w:id="135" w:name="_STATUTE_NUMBER__bae38f83_a77f_4dc8_b1f7"/>
      <w:bookmarkStart w:id="136" w:name="_STATUTE_P__63d578f8_f1a5_4dd9_9a0b_098a"/>
      <w:bookmarkStart w:id="137" w:name="_PAR__5_577834a8_143d_4c67_94f7_efdc7115"/>
      <w:bookmarkEnd w:id="131"/>
      <w:bookmarkEnd w:id="134"/>
      <w:r>
        <w:rPr>
          <w:rFonts w:ascii="Arial" w:eastAsia="Arial" w:hAnsi="Arial" w:cs="Arial"/>
          <w:u w:val="single"/>
        </w:rPr>
        <w:t>A</w:t>
      </w:r>
      <w:bookmarkEnd w:id="135"/>
      <w:r>
        <w:rPr>
          <w:rFonts w:ascii="Arial" w:eastAsia="Arial" w:hAnsi="Arial" w:cs="Arial"/>
          <w:u w:val="single"/>
        </w:rPr>
        <w:t xml:space="preserve">.  </w:t>
      </w:r>
      <w:bookmarkStart w:id="138" w:name="_STATUTE_CONTENT__1ebfe706_464b_4455_8fd"/>
      <w:r>
        <w:rPr>
          <w:rFonts w:ascii="Arial" w:eastAsia="Arial" w:hAnsi="Arial" w:cs="Arial"/>
          <w:u w:val="single"/>
        </w:rPr>
        <w:t>Before furnishing an HIV prevention drug to a patient, a pharmacist shall complete a training program approved by the board on the use of protocols developed by the board for prescribing, dispensing and administering an HIV prevention drug, on the requirements for any laboratory testing for HIV infection and on guidelines for prescription adherence and best practices to counsel patients prescribed an HIV prevention drug.</w:t>
      </w:r>
    </w:p>
    <w:p w:rsidR="002002F0" w:rsidRPr="00487F65" w:rsidP="002002F0">
      <w:pPr>
        <w:ind w:left="720"/>
        <w:rPr>
          <w:rFonts w:ascii="Arial" w:eastAsia="Arial" w:hAnsi="Arial" w:cs="Arial"/>
        </w:rPr>
      </w:pPr>
      <w:bookmarkStart w:id="139" w:name="_STATUTE_NUMBER__412b1a5f_e96a_4200_bfa6"/>
      <w:bookmarkStart w:id="140" w:name="_PAR__6_939597e6_d11f_44b7_8641_cab881f7"/>
      <w:bookmarkStart w:id="141" w:name="_STATUTE_P__58cf043e_5f81_4aee_87e8_ae61"/>
      <w:bookmarkEnd w:id="136"/>
      <w:bookmarkEnd w:id="137"/>
      <w:bookmarkEnd w:id="138"/>
      <w:r>
        <w:rPr>
          <w:rFonts w:ascii="Arial" w:eastAsia="Arial" w:hAnsi="Arial" w:cs="Arial"/>
          <w:u w:val="single"/>
        </w:rPr>
        <w:t>B</w:t>
      </w:r>
      <w:bookmarkEnd w:id="139"/>
      <w:r>
        <w:rPr>
          <w:rFonts w:ascii="Arial" w:eastAsia="Arial" w:hAnsi="Arial" w:cs="Arial"/>
          <w:u w:val="single"/>
        </w:rPr>
        <w:t xml:space="preserve">.  </w:t>
      </w:r>
      <w:bookmarkStart w:id="142" w:name="_STATUTE_CONTENT__cdcc263e_80cf_4bfd_bf7"/>
      <w:r>
        <w:rPr>
          <w:rFonts w:ascii="Arial" w:eastAsia="Arial" w:hAnsi="Arial" w:cs="Arial"/>
          <w:u w:val="single"/>
        </w:rPr>
        <w:t>A pharmacist shall dispense or administer a preexposure prophylaxis drug in at least a 30-day supply, and up to a 60-day supply, as long as all of the following conditions are met:</w:t>
      </w:r>
    </w:p>
    <w:p w:rsidR="002002F0" w:rsidRPr="00487F65" w:rsidP="002002F0">
      <w:pPr>
        <w:ind w:left="1080"/>
        <w:rPr>
          <w:rFonts w:ascii="Arial" w:eastAsia="Arial" w:hAnsi="Arial" w:cs="Arial"/>
        </w:rPr>
      </w:pPr>
      <w:bookmarkStart w:id="143" w:name="_STATUTE_SP__f34841e8_3a39_464c_a7d8_f05"/>
      <w:bookmarkStart w:id="144" w:name="_PAR__7_4701043f_5deb_4b6b_9e4f_5443ba79"/>
      <w:bookmarkEnd w:id="140"/>
      <w:bookmarkEnd w:id="142"/>
      <w:r>
        <w:rPr>
          <w:rFonts w:ascii="Arial" w:eastAsia="Arial" w:hAnsi="Arial" w:cs="Arial"/>
          <w:u w:val="single"/>
        </w:rPr>
        <w:t>(</w:t>
      </w:r>
      <w:bookmarkStart w:id="145" w:name="_STATUTE_NUMBER__9174d6a9_9d17_4812_baca"/>
      <w:r>
        <w:rPr>
          <w:rFonts w:ascii="Arial" w:eastAsia="Arial" w:hAnsi="Arial" w:cs="Arial"/>
          <w:u w:val="single"/>
        </w:rPr>
        <w:t>1</w:t>
      </w:r>
      <w:bookmarkEnd w:id="145"/>
      <w:r>
        <w:rPr>
          <w:rFonts w:ascii="Arial" w:eastAsia="Arial" w:hAnsi="Arial" w:cs="Arial"/>
          <w:u w:val="single"/>
        </w:rPr>
        <w:t xml:space="preserve">)  </w:t>
      </w:r>
      <w:bookmarkStart w:id="146" w:name="_STATUTE_CONTENT__4da66f36_787f_4c98_942"/>
      <w:r>
        <w:rPr>
          <w:rFonts w:ascii="Arial" w:eastAsia="Arial" w:hAnsi="Arial" w:cs="Arial"/>
          <w:u w:val="single"/>
        </w:rPr>
        <w:t>The patient tests negative for HIV infection, as documented by a negative HIV test result obtained within the previous 7 days.  If the patient does not provide evidence of a negative HIV test result in accordance with this subparagraph, the pharmacist shall order an HIV test.  If the test results are not transmitted directly to the pharmacist, the pharmacist shall verify the test results to the pharmacist's satisfaction.  If the patient tests positive for HIV infection, the pharmacist or person administering the test shall direct the patient to a primary care provider and provide a list of primary care providers and clinics within a reasonable travel distance of the patient's residence;</w:t>
      </w:r>
    </w:p>
    <w:p w:rsidR="002002F0" w:rsidRPr="00487F65" w:rsidP="002002F0">
      <w:pPr>
        <w:ind w:left="1080"/>
        <w:rPr>
          <w:rFonts w:ascii="Arial" w:eastAsia="Arial" w:hAnsi="Arial" w:cs="Arial"/>
        </w:rPr>
      </w:pPr>
      <w:bookmarkStart w:id="147" w:name="_STATUTE_SP__29748c96_9818_4b92_a3f3_bc8"/>
      <w:bookmarkStart w:id="148" w:name="_PAR__8_65c6c0ec_c4d3_4222_87ac_37ad8fca"/>
      <w:bookmarkEnd w:id="143"/>
      <w:bookmarkEnd w:id="144"/>
      <w:bookmarkEnd w:id="146"/>
      <w:r>
        <w:rPr>
          <w:rFonts w:ascii="Arial" w:eastAsia="Arial" w:hAnsi="Arial" w:cs="Arial"/>
          <w:u w:val="single"/>
        </w:rPr>
        <w:t>(</w:t>
      </w:r>
      <w:bookmarkStart w:id="149" w:name="_STATUTE_NUMBER__a084b2b2_24b3_4f07_a5b8"/>
      <w:r>
        <w:rPr>
          <w:rFonts w:ascii="Arial" w:eastAsia="Arial" w:hAnsi="Arial" w:cs="Arial"/>
          <w:u w:val="single"/>
        </w:rPr>
        <w:t>2</w:t>
      </w:r>
      <w:bookmarkEnd w:id="149"/>
      <w:r>
        <w:rPr>
          <w:rFonts w:ascii="Arial" w:eastAsia="Arial" w:hAnsi="Arial" w:cs="Arial"/>
          <w:u w:val="single"/>
        </w:rPr>
        <w:t xml:space="preserve">)  </w:t>
      </w:r>
      <w:bookmarkStart w:id="150" w:name="_STATUTE_CONTENT__39f99a31_d7a9_4dbf_a23"/>
      <w:r>
        <w:rPr>
          <w:rFonts w:ascii="Arial" w:eastAsia="Arial" w:hAnsi="Arial" w:cs="Arial"/>
          <w:u w:val="single"/>
        </w:rPr>
        <w:t>The patient does not report any signs or symptoms of acute HIV infection on a self-reporting checklist of acute HIV infection signs and symptoms;</w:t>
      </w:r>
    </w:p>
    <w:p w:rsidR="002002F0" w:rsidRPr="00487F65" w:rsidP="002002F0">
      <w:pPr>
        <w:ind w:left="1080"/>
        <w:rPr>
          <w:rFonts w:ascii="Arial" w:eastAsia="Arial" w:hAnsi="Arial" w:cs="Arial"/>
        </w:rPr>
      </w:pPr>
      <w:bookmarkStart w:id="151" w:name="_STATUTE_SP__7e2a8431_48de_44ea_b2eb_472"/>
      <w:bookmarkStart w:id="152" w:name="_PAR__9_5ad1dee9_0efe_4660_aab0_a815834c"/>
      <w:bookmarkEnd w:id="147"/>
      <w:bookmarkEnd w:id="148"/>
      <w:bookmarkEnd w:id="150"/>
      <w:r>
        <w:rPr>
          <w:rFonts w:ascii="Arial" w:eastAsia="Arial" w:hAnsi="Arial" w:cs="Arial"/>
          <w:u w:val="single"/>
        </w:rPr>
        <w:t>(</w:t>
      </w:r>
      <w:bookmarkStart w:id="153" w:name="_STATUTE_NUMBER__4d3a7f42_c9d2_48d4_8579"/>
      <w:r>
        <w:rPr>
          <w:rFonts w:ascii="Arial" w:eastAsia="Arial" w:hAnsi="Arial" w:cs="Arial"/>
          <w:u w:val="single"/>
        </w:rPr>
        <w:t>3</w:t>
      </w:r>
      <w:bookmarkEnd w:id="153"/>
      <w:r>
        <w:rPr>
          <w:rFonts w:ascii="Arial" w:eastAsia="Arial" w:hAnsi="Arial" w:cs="Arial"/>
          <w:u w:val="single"/>
        </w:rPr>
        <w:t xml:space="preserve">)  </w:t>
      </w:r>
      <w:bookmarkStart w:id="154" w:name="_STATUTE_CONTENT__bd964a98_03a6_40e9_ba3"/>
      <w:r>
        <w:rPr>
          <w:rFonts w:ascii="Arial" w:eastAsia="Arial" w:hAnsi="Arial" w:cs="Arial"/>
          <w:u w:val="single"/>
        </w:rPr>
        <w:t>The patient does not report taking any contraindicated medications;</w:t>
      </w:r>
    </w:p>
    <w:p w:rsidR="002002F0" w:rsidRPr="00487F65" w:rsidP="002002F0">
      <w:pPr>
        <w:ind w:left="1080"/>
        <w:rPr>
          <w:rFonts w:ascii="Arial" w:eastAsia="Arial" w:hAnsi="Arial" w:cs="Arial"/>
        </w:rPr>
      </w:pPr>
      <w:bookmarkStart w:id="155" w:name="_STATUTE_SP__396f9d00_edba_452c_a7f3_d82"/>
      <w:bookmarkStart w:id="156" w:name="_PAR__10_37e24fdb_8fc1_4615_830d_e67c6fd"/>
      <w:bookmarkEnd w:id="151"/>
      <w:bookmarkEnd w:id="152"/>
      <w:bookmarkEnd w:id="154"/>
      <w:r>
        <w:rPr>
          <w:rFonts w:ascii="Arial" w:eastAsia="Arial" w:hAnsi="Arial" w:cs="Arial"/>
          <w:u w:val="single"/>
        </w:rPr>
        <w:t>(</w:t>
      </w:r>
      <w:bookmarkStart w:id="157" w:name="_STATUTE_NUMBER__2cb0579e_4169_4571_a253"/>
      <w:r>
        <w:rPr>
          <w:rFonts w:ascii="Arial" w:eastAsia="Arial" w:hAnsi="Arial" w:cs="Arial"/>
          <w:u w:val="single"/>
        </w:rPr>
        <w:t>4</w:t>
      </w:r>
      <w:bookmarkEnd w:id="157"/>
      <w:r>
        <w:rPr>
          <w:rFonts w:ascii="Arial" w:eastAsia="Arial" w:hAnsi="Arial" w:cs="Arial"/>
          <w:u w:val="single"/>
        </w:rPr>
        <w:t xml:space="preserve">)  </w:t>
      </w:r>
      <w:bookmarkStart w:id="158" w:name="_STATUTE_CONTENT__fa534e48_a0ef_4a98_827"/>
      <w:r>
        <w:rPr>
          <w:rFonts w:ascii="Arial" w:eastAsia="Arial" w:hAnsi="Arial" w:cs="Arial"/>
          <w:u w:val="single"/>
        </w:rPr>
        <w:t>The pharmacist provides counseling to the patient, consistent with CDC guidelines, on the ongoing use of a preexposure prophylaxis drug.  The pharmacist shall notify the patient that the patient must be seen by a primary care provider to receive subsequent prescriptions for a preexposure prophylaxis drug and that a pharmacist may not dispense or administer more than a 60-day supply of a preexposure prophylaxis drug to a single patient once every 2 years without a prescription;</w:t>
      </w:r>
    </w:p>
    <w:p w:rsidR="002002F0" w:rsidRPr="00487F65" w:rsidP="002002F0">
      <w:pPr>
        <w:ind w:left="1080"/>
        <w:rPr>
          <w:rFonts w:ascii="Arial" w:eastAsia="Arial" w:hAnsi="Arial" w:cs="Arial"/>
        </w:rPr>
      </w:pPr>
      <w:bookmarkStart w:id="159" w:name="_STATUTE_SP__b0b8bde0_6301_461b_ac8f_a20"/>
      <w:bookmarkStart w:id="160" w:name="_PAR__11_6e71f0f1_febb_41a7_a382_f5380a3"/>
      <w:bookmarkEnd w:id="155"/>
      <w:bookmarkEnd w:id="156"/>
      <w:bookmarkEnd w:id="158"/>
      <w:r>
        <w:rPr>
          <w:rFonts w:ascii="Arial" w:eastAsia="Arial" w:hAnsi="Arial" w:cs="Arial"/>
          <w:u w:val="single"/>
        </w:rPr>
        <w:t>(</w:t>
      </w:r>
      <w:bookmarkStart w:id="161" w:name="_STATUTE_NUMBER__4f4ee23e_7432_45dd_9472"/>
      <w:r>
        <w:rPr>
          <w:rFonts w:ascii="Arial" w:eastAsia="Arial" w:hAnsi="Arial" w:cs="Arial"/>
          <w:u w:val="single"/>
        </w:rPr>
        <w:t>5</w:t>
      </w:r>
      <w:bookmarkEnd w:id="161"/>
      <w:r>
        <w:rPr>
          <w:rFonts w:ascii="Arial" w:eastAsia="Arial" w:hAnsi="Arial" w:cs="Arial"/>
          <w:u w:val="single"/>
        </w:rPr>
        <w:t xml:space="preserve">)  </w:t>
      </w:r>
      <w:bookmarkStart w:id="162" w:name="_STATUTE_CONTENT__22034e2c_e456_4f36_bd6"/>
      <w:r>
        <w:rPr>
          <w:rFonts w:ascii="Arial" w:eastAsia="Arial" w:hAnsi="Arial" w:cs="Arial"/>
          <w:u w:val="single"/>
        </w:rPr>
        <w:t>The pharmacist documents, to the extent possible, the services provided by the pharmacist in the patient's record in the patient profile record system maintained by the pharmacy.  The pharmacist shall maintain records of preexposure prophylaxis drugs dispensed or administered to each patient;</w:t>
      </w:r>
    </w:p>
    <w:p w:rsidR="002002F0" w:rsidRPr="00487F65" w:rsidP="002002F0">
      <w:pPr>
        <w:ind w:left="1080"/>
        <w:rPr>
          <w:rFonts w:ascii="Arial" w:eastAsia="Arial" w:hAnsi="Arial" w:cs="Arial"/>
        </w:rPr>
      </w:pPr>
      <w:bookmarkStart w:id="163" w:name="_STATUTE_SP__189a13b8_e089_4455_bcd9_4e2"/>
      <w:bookmarkStart w:id="164" w:name="_PAR__1_311d20d1_1143_4a4c_b7c7_96025da9"/>
      <w:bookmarkEnd w:id="159"/>
      <w:bookmarkEnd w:id="160"/>
      <w:bookmarkEnd w:id="162"/>
      <w:r>
        <w:rPr>
          <w:rFonts w:ascii="Arial" w:eastAsia="Arial" w:hAnsi="Arial" w:cs="Arial"/>
          <w:u w:val="single"/>
        </w:rPr>
        <w:t>(</w:t>
      </w:r>
      <w:bookmarkStart w:id="165" w:name="_STATUTE_NUMBER__f12db7f1_9b68_466d_a317"/>
      <w:r>
        <w:rPr>
          <w:rFonts w:ascii="Arial" w:eastAsia="Arial" w:hAnsi="Arial" w:cs="Arial"/>
          <w:u w:val="single"/>
        </w:rPr>
        <w:t>6</w:t>
      </w:r>
      <w:bookmarkEnd w:id="165"/>
      <w:r>
        <w:rPr>
          <w:rFonts w:ascii="Arial" w:eastAsia="Arial" w:hAnsi="Arial" w:cs="Arial"/>
          <w:u w:val="single"/>
        </w:rPr>
        <w:t xml:space="preserve">)  </w:t>
      </w:r>
      <w:bookmarkStart w:id="166" w:name="_STATUTE_CONTENT__5790f999_1ed9_4ca0_8e2"/>
      <w:r>
        <w:rPr>
          <w:rFonts w:ascii="Arial" w:eastAsia="Arial" w:hAnsi="Arial" w:cs="Arial"/>
          <w:u w:val="single"/>
        </w:rPr>
        <w:t>The pharmacist does not dispense or administer more than a 60-day supply of a preexposure prophylaxis drug to a single patient once every 2 years, unless otherwise directed by a practitioner; and</w:t>
      </w:r>
    </w:p>
    <w:p w:rsidR="002002F0" w:rsidRPr="00487F65" w:rsidP="002002F0">
      <w:pPr>
        <w:ind w:left="1080"/>
        <w:rPr>
          <w:rFonts w:ascii="Arial" w:eastAsia="Arial" w:hAnsi="Arial" w:cs="Arial"/>
        </w:rPr>
      </w:pPr>
      <w:bookmarkStart w:id="167" w:name="_STATUTE_SP__ed7b8e69_010b_48ef_8dd6_ad5"/>
      <w:bookmarkStart w:id="168" w:name="_PAR__2_26ffcbc6_0f30_4350_9266_159bebb3"/>
      <w:bookmarkEnd w:id="163"/>
      <w:bookmarkEnd w:id="164"/>
      <w:bookmarkEnd w:id="166"/>
      <w:r>
        <w:rPr>
          <w:rFonts w:ascii="Arial" w:eastAsia="Arial" w:hAnsi="Arial" w:cs="Arial"/>
          <w:u w:val="single"/>
        </w:rPr>
        <w:t>(</w:t>
      </w:r>
      <w:bookmarkStart w:id="169" w:name="_STATUTE_NUMBER__02eeee72_a244_4eab_8c82"/>
      <w:r>
        <w:rPr>
          <w:rFonts w:ascii="Arial" w:eastAsia="Arial" w:hAnsi="Arial" w:cs="Arial"/>
          <w:u w:val="single"/>
        </w:rPr>
        <w:t>7</w:t>
      </w:r>
      <w:bookmarkEnd w:id="169"/>
      <w:r>
        <w:rPr>
          <w:rFonts w:ascii="Arial" w:eastAsia="Arial" w:hAnsi="Arial" w:cs="Arial"/>
          <w:u w:val="single"/>
        </w:rPr>
        <w:t xml:space="preserve">)  </w:t>
      </w:r>
      <w:bookmarkStart w:id="170" w:name="_STATUTE_CONTENT__c84813a5_4550_499d_b9b"/>
      <w:r>
        <w:rPr>
          <w:rFonts w:ascii="Arial" w:eastAsia="Arial" w:hAnsi="Arial" w:cs="Arial"/>
          <w:u w:val="single"/>
        </w:rPr>
        <w:t>The pharmacist notifies the patient's primary care provider that the pharmacist completed the requirements specified in this paragraph.  If the patient does not have a primary care provider, or refuses consent to notify the patient's primary care provider, the pharmacist shall provide the patient a list of physicians, clinics or other health care providers to contact regarding follow-up care.</w:t>
      </w:r>
    </w:p>
    <w:p w:rsidR="002002F0" w:rsidRPr="00487F65" w:rsidP="002002F0">
      <w:pPr>
        <w:ind w:left="720"/>
        <w:rPr>
          <w:rFonts w:ascii="Arial" w:eastAsia="Arial" w:hAnsi="Arial" w:cs="Arial"/>
        </w:rPr>
      </w:pPr>
      <w:bookmarkStart w:id="171" w:name="_STATUTE_NUMBER__180489c9_1143_4edf_97ed"/>
      <w:bookmarkStart w:id="172" w:name="_PAR__3_dd566ff9_74c2_42d6_adc2_93bda2f0"/>
      <w:bookmarkStart w:id="173" w:name="_STATUTE_P__44238a97_6a7e_44e1_87ff_aa09"/>
      <w:bookmarkEnd w:id="141"/>
      <w:bookmarkEnd w:id="167"/>
      <w:bookmarkEnd w:id="168"/>
      <w:bookmarkEnd w:id="170"/>
      <w:r>
        <w:rPr>
          <w:rFonts w:ascii="Arial" w:eastAsia="Arial" w:hAnsi="Arial" w:cs="Arial"/>
          <w:u w:val="single"/>
        </w:rPr>
        <w:t>C</w:t>
      </w:r>
      <w:bookmarkEnd w:id="171"/>
      <w:r>
        <w:rPr>
          <w:rFonts w:ascii="Arial" w:eastAsia="Arial" w:hAnsi="Arial" w:cs="Arial"/>
          <w:u w:val="single"/>
        </w:rPr>
        <w:t xml:space="preserve">.  </w:t>
      </w:r>
      <w:bookmarkStart w:id="174" w:name="_STATUTE_CONTENT__dba591b1_71c1_4940_9df"/>
      <w:r>
        <w:rPr>
          <w:rFonts w:ascii="Arial" w:eastAsia="Arial" w:hAnsi="Arial" w:cs="Arial"/>
          <w:u w:val="single"/>
        </w:rPr>
        <w:t>A pharmacist shall dispense or administer a complete course of a post-exposure prophylaxis drug as long as all of the following conditions are met:</w:t>
      </w:r>
    </w:p>
    <w:p w:rsidR="002002F0" w:rsidRPr="00487F65" w:rsidP="002002F0">
      <w:pPr>
        <w:ind w:left="1080"/>
        <w:rPr>
          <w:rFonts w:ascii="Arial" w:eastAsia="Arial" w:hAnsi="Arial" w:cs="Arial"/>
        </w:rPr>
      </w:pPr>
      <w:bookmarkStart w:id="175" w:name="_STATUTE_SP__038b2f7a_bcc1_47ab_bbf7_8b9"/>
      <w:bookmarkStart w:id="176" w:name="_PAR__4_13a03bd2_332f_48e9_8912_36a3a00d"/>
      <w:bookmarkEnd w:id="172"/>
      <w:bookmarkEnd w:id="174"/>
      <w:r>
        <w:rPr>
          <w:rFonts w:ascii="Arial" w:eastAsia="Arial" w:hAnsi="Arial" w:cs="Arial"/>
          <w:u w:val="single"/>
        </w:rPr>
        <w:t>(</w:t>
      </w:r>
      <w:bookmarkStart w:id="177" w:name="_STATUTE_NUMBER__52445333_1362_4e82_ac00"/>
      <w:r>
        <w:rPr>
          <w:rFonts w:ascii="Arial" w:eastAsia="Arial" w:hAnsi="Arial" w:cs="Arial"/>
          <w:u w:val="single"/>
        </w:rPr>
        <w:t>1</w:t>
      </w:r>
      <w:bookmarkEnd w:id="177"/>
      <w:r>
        <w:rPr>
          <w:rFonts w:ascii="Arial" w:eastAsia="Arial" w:hAnsi="Arial" w:cs="Arial"/>
          <w:u w:val="single"/>
        </w:rPr>
        <w:t xml:space="preserve">)  </w:t>
      </w:r>
      <w:bookmarkStart w:id="178" w:name="_STATUTE_CONTENT__0a83bc3a_c964_44cd_a92"/>
      <w:r>
        <w:rPr>
          <w:rFonts w:ascii="Arial" w:eastAsia="Arial" w:hAnsi="Arial" w:cs="Arial"/>
          <w:u w:val="single"/>
        </w:rPr>
        <w:t>The pharmacist screens the patient and determines that the exposure occurred within the previous 72 hours and the patient otherwise meets the clinical criteria for a post-exposure prophylaxis drug under CDC guidelines;</w:t>
      </w:r>
    </w:p>
    <w:p w:rsidR="002002F0" w:rsidRPr="00487F65" w:rsidP="002002F0">
      <w:pPr>
        <w:ind w:left="1080"/>
        <w:rPr>
          <w:rFonts w:ascii="Arial" w:eastAsia="Arial" w:hAnsi="Arial" w:cs="Arial"/>
        </w:rPr>
      </w:pPr>
      <w:bookmarkStart w:id="179" w:name="_STATUTE_SP__59abe95c_04c9_460f_8275_ab2"/>
      <w:bookmarkStart w:id="180" w:name="_PAR__5_b759104f_4aa6_42a0_b0c6_cb28ee15"/>
      <w:bookmarkEnd w:id="175"/>
      <w:bookmarkEnd w:id="176"/>
      <w:bookmarkEnd w:id="178"/>
      <w:r>
        <w:rPr>
          <w:rFonts w:ascii="Arial" w:eastAsia="Arial" w:hAnsi="Arial" w:cs="Arial"/>
          <w:u w:val="single"/>
        </w:rPr>
        <w:t>(</w:t>
      </w:r>
      <w:bookmarkStart w:id="181" w:name="_STATUTE_NUMBER__ab039ef4_3764_4690_9933"/>
      <w:r>
        <w:rPr>
          <w:rFonts w:ascii="Arial" w:eastAsia="Arial" w:hAnsi="Arial" w:cs="Arial"/>
          <w:u w:val="single"/>
        </w:rPr>
        <w:t>2</w:t>
      </w:r>
      <w:bookmarkEnd w:id="181"/>
      <w:r>
        <w:rPr>
          <w:rFonts w:ascii="Arial" w:eastAsia="Arial" w:hAnsi="Arial" w:cs="Arial"/>
          <w:u w:val="single"/>
        </w:rPr>
        <w:t xml:space="preserve">)  </w:t>
      </w:r>
      <w:bookmarkStart w:id="182" w:name="_STATUTE_CONTENT__57289c31_d517_4b7e_921"/>
      <w:r>
        <w:rPr>
          <w:rFonts w:ascii="Arial" w:eastAsia="Arial" w:hAnsi="Arial" w:cs="Arial"/>
          <w:u w:val="single"/>
        </w:rPr>
        <w:t>The pharmacist provides HIV testing to the patient or determines that the patient is willing to undergo HIV testing consistent with CDC guidelines.  If the patient refuses to undergo HIV testing but is otherwise eligible for a post-exposure prophylaxis drug under this subsection, the pharmacist may dispense or administer a post-exposure prophylaxis drug;</w:t>
      </w:r>
    </w:p>
    <w:p w:rsidR="002002F0" w:rsidRPr="00487F65" w:rsidP="002002F0">
      <w:pPr>
        <w:ind w:left="1080"/>
        <w:rPr>
          <w:rFonts w:ascii="Arial" w:eastAsia="Arial" w:hAnsi="Arial" w:cs="Arial"/>
        </w:rPr>
      </w:pPr>
      <w:bookmarkStart w:id="183" w:name="_STATUTE_SP__27b7b778_e411_4d06_b985_b11"/>
      <w:bookmarkStart w:id="184" w:name="_PAR__6_fea9e061_c73f_41b4_9e7e_f0fb7dc8"/>
      <w:bookmarkEnd w:id="179"/>
      <w:bookmarkEnd w:id="180"/>
      <w:bookmarkEnd w:id="182"/>
      <w:r>
        <w:rPr>
          <w:rFonts w:ascii="Arial" w:eastAsia="Arial" w:hAnsi="Arial" w:cs="Arial"/>
          <w:u w:val="single"/>
        </w:rPr>
        <w:t>(</w:t>
      </w:r>
      <w:bookmarkStart w:id="185" w:name="_STATUTE_NUMBER__7b6c9b9c_49f2_42b2_925e"/>
      <w:r>
        <w:rPr>
          <w:rFonts w:ascii="Arial" w:eastAsia="Arial" w:hAnsi="Arial" w:cs="Arial"/>
          <w:u w:val="single"/>
        </w:rPr>
        <w:t>3</w:t>
      </w:r>
      <w:bookmarkEnd w:id="185"/>
      <w:r>
        <w:rPr>
          <w:rFonts w:ascii="Arial" w:eastAsia="Arial" w:hAnsi="Arial" w:cs="Arial"/>
          <w:u w:val="single"/>
        </w:rPr>
        <w:t xml:space="preserve">)  </w:t>
      </w:r>
      <w:bookmarkStart w:id="186" w:name="_STATUTE_CONTENT__67cdb85d_9854_4303_bb4"/>
      <w:r>
        <w:rPr>
          <w:rFonts w:ascii="Arial" w:eastAsia="Arial" w:hAnsi="Arial" w:cs="Arial"/>
          <w:u w:val="single"/>
        </w:rPr>
        <w:t>The pharmacist provides counseling to the patient, consistent with CDC guidelines, on the use of a post-exposure prophylaxis drug.  The pharmacist shall also inform the patient of the availability of a preexposure prophylaxis drug for persons who are at substantial risk of acquiring HIV; and</w:t>
      </w:r>
    </w:p>
    <w:p w:rsidR="002002F0" w:rsidRPr="00487F65" w:rsidP="002002F0">
      <w:pPr>
        <w:ind w:left="1080"/>
        <w:rPr>
          <w:rFonts w:ascii="Arial" w:eastAsia="Arial" w:hAnsi="Arial" w:cs="Arial"/>
        </w:rPr>
      </w:pPr>
      <w:bookmarkStart w:id="187" w:name="_STATUTE_SP__6af034a7_adb2_4697_92ac_ed5"/>
      <w:bookmarkStart w:id="188" w:name="_PAR__7_5361eeec_73fc_47bb_b3b2_856858be"/>
      <w:bookmarkEnd w:id="183"/>
      <w:bookmarkEnd w:id="184"/>
      <w:bookmarkEnd w:id="186"/>
      <w:r>
        <w:rPr>
          <w:rFonts w:ascii="Arial" w:eastAsia="Arial" w:hAnsi="Arial" w:cs="Arial"/>
          <w:u w:val="single"/>
        </w:rPr>
        <w:t>(</w:t>
      </w:r>
      <w:bookmarkStart w:id="189" w:name="_STATUTE_NUMBER__3dc88848_69a0_418f_8669"/>
      <w:r>
        <w:rPr>
          <w:rFonts w:ascii="Arial" w:eastAsia="Arial" w:hAnsi="Arial" w:cs="Arial"/>
          <w:u w:val="single"/>
        </w:rPr>
        <w:t>4</w:t>
      </w:r>
      <w:bookmarkEnd w:id="189"/>
      <w:r>
        <w:rPr>
          <w:rFonts w:ascii="Arial" w:eastAsia="Arial" w:hAnsi="Arial" w:cs="Arial"/>
          <w:u w:val="single"/>
        </w:rPr>
        <w:t xml:space="preserve">)  </w:t>
      </w:r>
      <w:bookmarkStart w:id="190" w:name="_STATUTE_CONTENT__0c3a5289_a543_4e0d_92b"/>
      <w:r>
        <w:rPr>
          <w:rFonts w:ascii="Arial" w:eastAsia="Arial" w:hAnsi="Arial" w:cs="Arial"/>
          <w:u w:val="single"/>
        </w:rPr>
        <w:t>The pharmacist notifies the patient's primary care provider of the dispensing or administering of the post-exposure prophylaxis drug.  If the patient does not have a primary care provider, or refuses consent to notify the patient's primary care provider, the pharmacist shall provide the patient a list of physicians, clinics or other health care providers to contact regarding follow-up care.</w:t>
      </w:r>
    </w:p>
    <w:p w:rsidR="002002F0" w:rsidP="002002F0">
      <w:pPr>
        <w:ind w:left="360" w:firstLine="360"/>
        <w:rPr>
          <w:rFonts w:ascii="Arial" w:eastAsia="Arial" w:hAnsi="Arial" w:cs="Arial"/>
        </w:rPr>
      </w:pPr>
      <w:bookmarkStart w:id="191" w:name="_STATUTE_NUMBER__ba4693e2_d870_4f05_b2dd"/>
      <w:bookmarkStart w:id="192" w:name="_STATUTE_SS__3c85570e_0044_48ac_89b7_6c9"/>
      <w:bookmarkStart w:id="193" w:name="_PAR__8_0c10000c_3a4c_46f3_81a5_a1e7e6f6"/>
      <w:bookmarkEnd w:id="132"/>
      <w:bookmarkEnd w:id="173"/>
      <w:bookmarkEnd w:id="187"/>
      <w:bookmarkEnd w:id="188"/>
      <w:bookmarkEnd w:id="190"/>
      <w:r w:rsidRPr="00487F65">
        <w:rPr>
          <w:rFonts w:ascii="Arial" w:eastAsia="Arial" w:hAnsi="Arial" w:cs="Arial"/>
          <w:b/>
          <w:u w:val="single"/>
        </w:rPr>
        <w:t>3</w:t>
      </w:r>
      <w:bookmarkEnd w:id="191"/>
      <w:r w:rsidRPr="00487F65">
        <w:rPr>
          <w:rFonts w:ascii="Arial" w:eastAsia="Arial" w:hAnsi="Arial" w:cs="Arial"/>
          <w:b/>
          <w:u w:val="single"/>
        </w:rPr>
        <w:t xml:space="preserve">.  </w:t>
      </w:r>
      <w:bookmarkStart w:id="194" w:name="_STATUTE_HEADNOTE__31aa177b_a77b_431e_ad"/>
      <w:r w:rsidRPr="00487F65">
        <w:rPr>
          <w:rFonts w:ascii="Arial" w:eastAsia="Arial" w:hAnsi="Arial" w:cs="Arial"/>
          <w:b/>
          <w:u w:val="single"/>
        </w:rPr>
        <w:t>Rules; protocols.</w:t>
      </w:r>
      <w:r>
        <w:rPr>
          <w:rFonts w:ascii="Arial" w:eastAsia="Arial" w:hAnsi="Arial" w:cs="Arial"/>
          <w:u w:val="single"/>
        </w:rPr>
        <w:t xml:space="preserve">  </w:t>
      </w:r>
      <w:bookmarkStart w:id="195" w:name="_STATUTE_CONTENT__5d87f1e6_3980_4873_8c5"/>
      <w:bookmarkEnd w:id="194"/>
      <w:r>
        <w:rPr>
          <w:rFonts w:ascii="Arial" w:eastAsia="Arial" w:hAnsi="Arial" w:cs="Arial"/>
          <w:u w:val="single"/>
        </w:rPr>
        <w:t>The board by rule shall establish standards for authorizing pharmacists to prescribe, dispense and administer HIV prevention drugs in accordance with subsection 2, including adequate training requirements and protocols for when there is no prescription drug order, standing order or collaborative practice agreement.  Rules adopted under this subsection are routine technical rules as defined in Title 5, chapter 375, subchapter 2-A.</w:t>
      </w:r>
    </w:p>
    <w:p w:rsidR="002002F0" w:rsidP="002002F0">
      <w:pPr>
        <w:ind w:left="360" w:firstLine="360"/>
        <w:rPr>
          <w:rFonts w:ascii="Arial" w:eastAsia="Arial" w:hAnsi="Arial" w:cs="Arial"/>
        </w:rPr>
      </w:pPr>
      <w:bookmarkStart w:id="196" w:name="_BILL_SECTION_UNALLOCATED__8cd240a7_9247"/>
      <w:bookmarkStart w:id="197" w:name="_PAR__9_5f0bbe04_cc79_4842_b039_abb37e2e"/>
      <w:bookmarkEnd w:id="103"/>
      <w:bookmarkEnd w:id="106"/>
      <w:bookmarkEnd w:id="192"/>
      <w:bookmarkEnd w:id="193"/>
      <w:bookmarkEnd w:id="195"/>
      <w:r>
        <w:rPr>
          <w:rFonts w:ascii="Arial" w:eastAsia="Arial" w:hAnsi="Arial" w:cs="Arial"/>
          <w:b/>
          <w:sz w:val="24"/>
        </w:rPr>
        <w:t xml:space="preserve">Sec. </w:t>
      </w:r>
      <w:bookmarkStart w:id="198" w:name="_BILL_SECTION_NUMBER__136c8637_b2f6_4f46"/>
      <w:r>
        <w:rPr>
          <w:rFonts w:ascii="Arial" w:eastAsia="Arial" w:hAnsi="Arial" w:cs="Arial"/>
          <w:b/>
          <w:sz w:val="24"/>
        </w:rPr>
        <w:t>7</w:t>
      </w:r>
      <w:bookmarkEnd w:id="198"/>
      <w:r>
        <w:rPr>
          <w:rFonts w:ascii="Arial" w:eastAsia="Arial" w:hAnsi="Arial" w:cs="Arial"/>
          <w:b/>
          <w:sz w:val="24"/>
        </w:rPr>
        <w:t>.</w:t>
      </w:r>
      <w:r>
        <w:rPr>
          <w:rFonts w:ascii="Arial" w:eastAsia="Arial" w:hAnsi="Arial" w:cs="Arial"/>
        </w:rPr>
        <w:t xml:space="preserve">  </w:t>
      </w:r>
      <w:r w:rsidRPr="00C44E26">
        <w:rPr>
          <w:rFonts w:ascii="Arial" w:eastAsia="Arial" w:hAnsi="Arial" w:cs="Arial"/>
          <w:b/>
          <w:sz w:val="24"/>
          <w:szCs w:val="24"/>
        </w:rPr>
        <w:t xml:space="preserve">Exemption from review. </w:t>
      </w:r>
      <w:r>
        <w:rPr>
          <w:rFonts w:ascii="Arial" w:eastAsia="Arial" w:hAnsi="Arial" w:cs="Arial"/>
        </w:rPr>
        <w:t xml:space="preserve"> Notwithstanding the Maine Revised Statutes, Title 24-A, section 2752, this Act is enacted without review and evaluation by the Department of Professional and Financial Regulation, Bureau of Insurance.</w:t>
      </w:r>
    </w:p>
    <w:p w:rsidR="002002F0" w:rsidP="002002F0">
      <w:pPr>
        <w:ind w:left="360" w:firstLine="360"/>
        <w:rPr>
          <w:rFonts w:ascii="Arial" w:eastAsia="Arial" w:hAnsi="Arial" w:cs="Arial"/>
        </w:rPr>
      </w:pPr>
      <w:bookmarkStart w:id="199" w:name="_APPLICATION_CLAUSE__8e4c36d1_5c75_4b14_"/>
      <w:bookmarkStart w:id="200" w:name="_PAR__10_6955411b_1684_403a_ac37_52e6397"/>
      <w:bookmarkEnd w:id="196"/>
      <w:bookmarkEnd w:id="197"/>
      <w:r>
        <w:rPr>
          <w:rFonts w:ascii="Arial" w:eastAsia="Arial" w:hAnsi="Arial" w:cs="Arial"/>
          <w:b/>
          <w:sz w:val="24"/>
        </w:rPr>
        <w:t xml:space="preserve">Sec. </w:t>
      </w:r>
      <w:bookmarkStart w:id="201" w:name="_BILL_SECTION_NUMBER__2cb0ea09_0b65_4f45"/>
      <w:r>
        <w:rPr>
          <w:rFonts w:ascii="Arial" w:eastAsia="Arial" w:hAnsi="Arial" w:cs="Arial"/>
          <w:b/>
          <w:sz w:val="24"/>
        </w:rPr>
        <w:t>8</w:t>
      </w:r>
      <w:bookmarkEnd w:id="201"/>
      <w:r>
        <w:rPr>
          <w:rFonts w:ascii="Arial" w:eastAsia="Arial" w:hAnsi="Arial" w:cs="Arial"/>
          <w:b/>
          <w:sz w:val="24"/>
        </w:rPr>
        <w:t xml:space="preserve">.  Application.  </w:t>
      </w:r>
      <w:r>
        <w:rPr>
          <w:rFonts w:ascii="Arial" w:eastAsia="Arial" w:hAnsi="Arial" w:cs="Arial"/>
        </w:rPr>
        <w:t xml:space="preserve">The </w:t>
      </w:r>
      <w:r w:rsidRPr="009C2DCE">
        <w:rPr>
          <w:rFonts w:ascii="Arial" w:eastAsia="Arial" w:hAnsi="Arial" w:cs="Arial"/>
        </w:rPr>
        <w:t xml:space="preserve">requirements of this Act apply to all individual and group health plans, as defined in </w:t>
      </w:r>
      <w:r>
        <w:rPr>
          <w:rFonts w:ascii="Arial" w:eastAsia="Arial" w:hAnsi="Arial" w:cs="Arial"/>
        </w:rPr>
        <w:t xml:space="preserve">the Maine Revised Statutes, </w:t>
      </w:r>
      <w:r w:rsidRPr="009C2DCE">
        <w:rPr>
          <w:rFonts w:ascii="Arial" w:eastAsia="Arial" w:hAnsi="Arial" w:cs="Arial"/>
        </w:rPr>
        <w:t>Title 24-A, section 43</w:t>
      </w:r>
      <w:r>
        <w:rPr>
          <w:rFonts w:ascii="Arial" w:eastAsia="Arial" w:hAnsi="Arial" w:cs="Arial"/>
        </w:rPr>
        <w:t>01</w:t>
      </w:r>
      <w:r w:rsidRPr="009C2DCE">
        <w:rPr>
          <w:rFonts w:ascii="Arial" w:eastAsia="Arial" w:hAnsi="Arial" w:cs="Arial"/>
        </w:rPr>
        <w:t>-</w:t>
      </w:r>
      <w:r>
        <w:rPr>
          <w:rFonts w:ascii="Arial" w:eastAsia="Arial" w:hAnsi="Arial" w:cs="Arial"/>
        </w:rPr>
        <w:t>A, subsection 7,</w:t>
      </w:r>
      <w:r w:rsidRPr="009C2DCE">
        <w:rPr>
          <w:rFonts w:ascii="Arial" w:eastAsia="Arial" w:hAnsi="Arial" w:cs="Arial"/>
        </w:rPr>
        <w:t xml:space="preserve"> executed, delivered, issued for delivery, continued or renewed in this State on or after January 1, 2022. </w:t>
      </w:r>
      <w:r>
        <w:rPr>
          <w:rFonts w:ascii="Arial" w:eastAsia="Arial" w:hAnsi="Arial" w:cs="Arial"/>
        </w:rPr>
        <w:t xml:space="preserve"> </w:t>
      </w:r>
      <w:r w:rsidRPr="009C2DCE">
        <w:rPr>
          <w:rFonts w:ascii="Arial" w:eastAsia="Arial" w:hAnsi="Arial" w:cs="Arial"/>
        </w:rPr>
        <w:t>For purposes of this Act, all contracts are deemed to be renewed no later than the next yearly anniversary of the contract date</w:t>
      </w:r>
      <w:r>
        <w:rPr>
          <w:rFonts w:ascii="Arial" w:eastAsia="Arial" w:hAnsi="Arial" w:cs="Arial"/>
        </w:rPr>
        <w:t>.</w:t>
      </w:r>
    </w:p>
    <w:p w:rsidR="002002F0" w:rsidP="002002F0">
      <w:pPr>
        <w:ind w:left="360" w:firstLine="360"/>
        <w:rPr>
          <w:rFonts w:ascii="Arial" w:eastAsia="Arial" w:hAnsi="Arial" w:cs="Arial"/>
        </w:rPr>
      </w:pPr>
      <w:bookmarkStart w:id="202" w:name="_APPROP_SECTION__7f5c21b0_3f04_49f6_a746"/>
      <w:bookmarkEnd w:id="199"/>
      <w:bookmarkEnd w:id="200"/>
      <w:r>
        <w:rPr>
          <w:rFonts w:ascii="Arial" w:eastAsia="Arial" w:hAnsi="Arial" w:cs="Arial"/>
          <w:b/>
          <w:sz w:val="24"/>
        </w:rPr>
        <w:t xml:space="preserve">Sec. </w:t>
      </w:r>
      <w:bookmarkStart w:id="203" w:name="_BILL_SECTION_NUMBER__e995d61a_6de6_4cc6"/>
      <w:r>
        <w:rPr>
          <w:rFonts w:ascii="Arial" w:eastAsia="Arial" w:hAnsi="Arial" w:cs="Arial"/>
          <w:b/>
          <w:sz w:val="24"/>
        </w:rPr>
        <w:t>9</w:t>
      </w:r>
      <w:bookmarkEnd w:id="203"/>
      <w:r>
        <w:rPr>
          <w:rFonts w:ascii="Arial" w:eastAsia="Arial" w:hAnsi="Arial" w:cs="Arial"/>
          <w:b/>
          <w:sz w:val="24"/>
        </w:rPr>
        <w:t>.  Appropriations and allocations.</w:t>
      </w:r>
      <w:r>
        <w:rPr>
          <w:rFonts w:ascii="Arial" w:eastAsia="Arial" w:hAnsi="Arial" w:cs="Arial"/>
        </w:rPr>
        <w:t>  The following appropriations and allocations are made.</w:t>
      </w:r>
    </w:p>
    <w:p w:rsidR="002002F0" w:rsidP="002002F0">
      <w:pPr>
        <w:pStyle w:val="BPSParagraphLeftAlign"/>
        <w:suppressAutoHyphens/>
        <w:ind w:left="360"/>
        <w:rPr>
          <w:rFonts w:ascii="Arial" w:eastAsia="Arial" w:hAnsi="Arial" w:cs="Arial"/>
        </w:rPr>
      </w:pPr>
      <w:r>
        <w:rPr>
          <w:rFonts w:ascii="Arial" w:eastAsia="Arial" w:hAnsi="Arial" w:cs="Arial"/>
          <w:b/>
        </w:rPr>
        <w:t>PROFESSIONAL AND FINANCIAL REGULATION, DEPARTMENT OF</w:t>
      </w:r>
    </w:p>
    <w:p w:rsidR="002002F0" w:rsidP="002002F0">
      <w:pPr>
        <w:pStyle w:val="BPSParagraphLeftAlign"/>
        <w:suppressAutoHyphens/>
        <w:ind w:left="360"/>
        <w:rPr>
          <w:rFonts w:ascii="Arial" w:eastAsia="Arial" w:hAnsi="Arial" w:cs="Arial"/>
        </w:rPr>
      </w:pPr>
      <w:r>
        <w:rPr>
          <w:rFonts w:ascii="Arial" w:eastAsia="Arial" w:hAnsi="Arial" w:cs="Arial"/>
          <w:b/>
        </w:rPr>
        <w:t>Administrative Services - Professional and Financial Regulation 0094</w:t>
      </w:r>
    </w:p>
    <w:p w:rsidR="002002F0" w:rsidP="002002F0">
      <w:pPr>
        <w:ind w:left="360"/>
        <w:rPr>
          <w:rFonts w:ascii="Arial" w:eastAsia="Arial" w:hAnsi="Arial" w:cs="Arial"/>
        </w:rPr>
      </w:pPr>
      <w:r>
        <w:rPr>
          <w:rFonts w:ascii="Arial" w:eastAsia="Arial" w:hAnsi="Arial" w:cs="Arial"/>
        </w:rPr>
        <w:t>Initiative: Allocates funds for technology-related costs associated with establishing one half-time Regulatory Health Compliance position to manage the anticipated increase in workload associated with the regulation of pharmacists' authority to dispense HIV prevention drugs.</w:t>
      </w:r>
    </w:p>
    <w:tbl>
      <w:tblPr>
        <w:tblStyle w:val="BPSTable"/>
        <w:tblW w:w="0" w:type="auto"/>
        <w:tblInd w:w="360" w:type="dxa"/>
        <w:tblCellMar>
          <w:left w:w="0" w:type="dxa"/>
          <w:right w:w="0" w:type="dxa"/>
        </w:tblCellMar>
        <w:tblLook w:val="04A0"/>
      </w:tblPr>
      <w:tblGrid>
        <w:gridCol w:w="5009"/>
        <w:gridCol w:w="1463"/>
        <w:gridCol w:w="1463"/>
      </w:tblGrid>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b/>
              </w:rPr>
              <w:t>OTHER SPECIAL REVENUE FUNDS</w:t>
            </w:r>
          </w:p>
        </w:tc>
        <w:tc>
          <w:tcPr>
            <w:tcW w:w="1469" w:type="dxa"/>
          </w:tcPr>
          <w:p w:rsidR="002002F0" w:rsidP="0075430F">
            <w:pPr>
              <w:jc w:val="right"/>
              <w:rPr>
                <w:rFonts w:ascii="Arial" w:eastAsia="Arial" w:hAnsi="Arial" w:cs="Arial"/>
              </w:rPr>
            </w:pPr>
            <w:r>
              <w:rPr>
                <w:rFonts w:ascii="Arial" w:eastAsia="Arial" w:hAnsi="Arial" w:cs="Arial"/>
                <w:b/>
              </w:rPr>
              <w:t>2021-22</w:t>
            </w:r>
          </w:p>
        </w:tc>
        <w:tc>
          <w:tcPr>
            <w:tcW w:w="1469" w:type="dxa"/>
          </w:tcPr>
          <w:p w:rsidR="002002F0" w:rsidP="0075430F">
            <w:pPr>
              <w:jc w:val="right"/>
              <w:rPr>
                <w:rFonts w:ascii="Arial" w:eastAsia="Arial" w:hAnsi="Arial" w:cs="Arial"/>
              </w:rPr>
            </w:pPr>
            <w:r>
              <w:rPr>
                <w:rFonts w:ascii="Arial" w:eastAsia="Arial" w:hAnsi="Arial" w:cs="Arial"/>
                <w:b/>
              </w:rPr>
              <w:t>2022-23</w:t>
            </w:r>
          </w:p>
        </w:tc>
      </w:tr>
      <w:tr w:rsidTr="0075430F">
        <w:tblPrEx>
          <w:tblW w:w="0" w:type="auto"/>
          <w:tblInd w:w="360" w:type="dxa"/>
          <w:tblCellMar>
            <w:left w:w="0" w:type="dxa"/>
            <w:right w:w="0" w:type="dxa"/>
          </w:tblCellMar>
          <w:tblLook w:val="04A0"/>
        </w:tblPrEx>
        <w:tc>
          <w:tcPr>
            <w:tcW w:w="5069" w:type="dxa"/>
          </w:tcPr>
          <w:p w:rsidR="002002F0" w:rsidP="0075430F">
            <w:pPr>
              <w:ind w:left="180"/>
              <w:rPr>
                <w:rFonts w:ascii="Arial" w:eastAsia="Arial" w:hAnsi="Arial" w:cs="Arial"/>
              </w:rPr>
            </w:pPr>
            <w:r>
              <w:rPr>
                <w:rFonts w:ascii="Arial" w:eastAsia="Arial" w:hAnsi="Arial" w:cs="Arial"/>
              </w:rPr>
              <w:t>All Other</w:t>
            </w:r>
          </w:p>
        </w:tc>
        <w:tc>
          <w:tcPr>
            <w:tcW w:w="1469" w:type="dxa"/>
          </w:tcPr>
          <w:p w:rsidR="002002F0" w:rsidP="0075430F">
            <w:pPr>
              <w:jc w:val="right"/>
              <w:rPr>
                <w:rFonts w:ascii="Arial" w:eastAsia="Arial" w:hAnsi="Arial" w:cs="Arial"/>
              </w:rPr>
            </w:pPr>
            <w:r>
              <w:rPr>
                <w:rFonts w:ascii="Arial" w:eastAsia="Arial" w:hAnsi="Arial" w:cs="Arial"/>
              </w:rPr>
              <w:t>$2,729</w:t>
            </w:r>
          </w:p>
        </w:tc>
        <w:tc>
          <w:tcPr>
            <w:tcW w:w="1469" w:type="dxa"/>
          </w:tcPr>
          <w:p w:rsidR="002002F0" w:rsidP="0075430F">
            <w:pPr>
              <w:jc w:val="right"/>
              <w:rPr>
                <w:rFonts w:ascii="Arial" w:eastAsia="Arial" w:hAnsi="Arial" w:cs="Arial"/>
              </w:rPr>
            </w:pPr>
            <w:r>
              <w:rPr>
                <w:rFonts w:ascii="Arial" w:eastAsia="Arial" w:hAnsi="Arial" w:cs="Arial"/>
              </w:rPr>
              <w:t>$3,347</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rPr>
              <w:t xml:space="preserve"> </w:t>
            </w:r>
          </w:p>
        </w:tc>
        <w:tc>
          <w:tcPr>
            <w:tcW w:w="1469" w:type="dxa"/>
          </w:tcPr>
          <w:p w:rsidR="002002F0" w:rsidP="0075430F">
            <w:pPr>
              <w:jc w:val="right"/>
              <w:rPr>
                <w:rFonts w:ascii="Arial" w:eastAsia="Arial" w:hAnsi="Arial" w:cs="Arial"/>
              </w:rPr>
            </w:pPr>
            <w:r>
              <w:rPr>
                <w:rFonts w:ascii="Arial" w:eastAsia="Arial" w:hAnsi="Arial" w:cs="Arial"/>
              </w:rPr>
              <w:t>__________</w:t>
            </w:r>
          </w:p>
        </w:tc>
        <w:tc>
          <w:tcPr>
            <w:tcW w:w="1469" w:type="dxa"/>
          </w:tcPr>
          <w:p w:rsidR="002002F0" w:rsidP="0075430F">
            <w:pPr>
              <w:jc w:val="right"/>
              <w:rPr>
                <w:rFonts w:ascii="Arial" w:eastAsia="Arial" w:hAnsi="Arial" w:cs="Arial"/>
              </w:rPr>
            </w:pPr>
            <w:r>
              <w:rPr>
                <w:rFonts w:ascii="Arial" w:eastAsia="Arial" w:hAnsi="Arial" w:cs="Arial"/>
              </w:rPr>
              <w:t>__________</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rPr>
              <w:t>OTHER SPECIAL REVENUE FUNDS TOTAL</w:t>
            </w:r>
          </w:p>
        </w:tc>
        <w:tc>
          <w:tcPr>
            <w:tcW w:w="1469" w:type="dxa"/>
          </w:tcPr>
          <w:p w:rsidR="002002F0" w:rsidP="0075430F">
            <w:pPr>
              <w:jc w:val="right"/>
              <w:rPr>
                <w:rFonts w:ascii="Arial" w:eastAsia="Arial" w:hAnsi="Arial" w:cs="Arial"/>
              </w:rPr>
            </w:pPr>
            <w:r>
              <w:rPr>
                <w:rFonts w:ascii="Arial" w:eastAsia="Arial" w:hAnsi="Arial" w:cs="Arial"/>
              </w:rPr>
              <w:t>$2,729</w:t>
            </w:r>
          </w:p>
        </w:tc>
        <w:tc>
          <w:tcPr>
            <w:tcW w:w="1469" w:type="dxa"/>
          </w:tcPr>
          <w:p w:rsidR="002002F0" w:rsidP="0075430F">
            <w:pPr>
              <w:jc w:val="right"/>
              <w:rPr>
                <w:rFonts w:ascii="Arial" w:eastAsia="Arial" w:hAnsi="Arial" w:cs="Arial"/>
              </w:rPr>
            </w:pPr>
            <w:r>
              <w:rPr>
                <w:rFonts w:ascii="Arial" w:eastAsia="Arial" w:hAnsi="Arial" w:cs="Arial"/>
              </w:rPr>
              <w:t>$3,347</w:t>
            </w:r>
          </w:p>
        </w:tc>
      </w:tr>
    </w:tbl>
    <w:p w:rsidR="002002F0" w:rsidP="002002F0">
      <w:pPr>
        <w:pStyle w:val="BPSParagraphLeftAlign"/>
        <w:suppressAutoHyphens/>
        <w:ind w:left="360"/>
        <w:rPr>
          <w:rFonts w:ascii="Arial" w:eastAsia="Arial" w:hAnsi="Arial" w:cs="Arial"/>
        </w:rPr>
      </w:pPr>
      <w:r>
        <w:rPr>
          <w:rFonts w:ascii="Arial" w:eastAsia="Arial" w:hAnsi="Arial" w:cs="Arial"/>
          <w:b/>
        </w:rPr>
        <w:t>Licensing and Enforcement 0352</w:t>
      </w:r>
    </w:p>
    <w:p w:rsidR="002002F0" w:rsidP="002002F0">
      <w:pPr>
        <w:ind w:left="360"/>
        <w:rPr>
          <w:rFonts w:ascii="Arial" w:eastAsia="Arial" w:hAnsi="Arial" w:cs="Arial"/>
        </w:rPr>
      </w:pPr>
      <w:r>
        <w:rPr>
          <w:rFonts w:ascii="Arial" w:eastAsia="Arial" w:hAnsi="Arial" w:cs="Arial"/>
        </w:rPr>
        <w:t>Initiative: Allocates funds for one half-time Regulatory Health Compliance position to manage the anticipated increase in workload associated with the regulation of pharmacists' authority to dispense HIV prevention drugs.</w:t>
      </w:r>
    </w:p>
    <w:tbl>
      <w:tblPr>
        <w:tblStyle w:val="BPSTable"/>
        <w:tblW w:w="0" w:type="auto"/>
        <w:tblInd w:w="360" w:type="dxa"/>
        <w:tblCellMar>
          <w:left w:w="0" w:type="dxa"/>
          <w:right w:w="0" w:type="dxa"/>
        </w:tblCellMar>
        <w:tblLook w:val="04A0"/>
      </w:tblPr>
      <w:tblGrid>
        <w:gridCol w:w="5009"/>
        <w:gridCol w:w="1463"/>
        <w:gridCol w:w="1463"/>
      </w:tblGrid>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b/>
              </w:rPr>
              <w:t>OTHER SPECIAL REVENUE FUNDS</w:t>
            </w:r>
          </w:p>
        </w:tc>
        <w:tc>
          <w:tcPr>
            <w:tcW w:w="1469" w:type="dxa"/>
          </w:tcPr>
          <w:p w:rsidR="002002F0" w:rsidP="0075430F">
            <w:pPr>
              <w:jc w:val="right"/>
              <w:rPr>
                <w:rFonts w:ascii="Arial" w:eastAsia="Arial" w:hAnsi="Arial" w:cs="Arial"/>
              </w:rPr>
            </w:pPr>
            <w:r>
              <w:rPr>
                <w:rFonts w:ascii="Arial" w:eastAsia="Arial" w:hAnsi="Arial" w:cs="Arial"/>
                <w:b/>
              </w:rPr>
              <w:t>2021-22</w:t>
            </w:r>
          </w:p>
        </w:tc>
        <w:tc>
          <w:tcPr>
            <w:tcW w:w="1469" w:type="dxa"/>
          </w:tcPr>
          <w:p w:rsidR="002002F0" w:rsidP="0075430F">
            <w:pPr>
              <w:jc w:val="right"/>
              <w:rPr>
                <w:rFonts w:ascii="Arial" w:eastAsia="Arial" w:hAnsi="Arial" w:cs="Arial"/>
              </w:rPr>
            </w:pPr>
            <w:r>
              <w:rPr>
                <w:rFonts w:ascii="Arial" w:eastAsia="Arial" w:hAnsi="Arial" w:cs="Arial"/>
                <w:b/>
              </w:rPr>
              <w:t>2022-23</w:t>
            </w:r>
          </w:p>
        </w:tc>
      </w:tr>
      <w:tr w:rsidTr="0075430F">
        <w:tblPrEx>
          <w:tblW w:w="0" w:type="auto"/>
          <w:tblInd w:w="360" w:type="dxa"/>
          <w:tblCellMar>
            <w:left w:w="0" w:type="dxa"/>
            <w:right w:w="0" w:type="dxa"/>
          </w:tblCellMar>
          <w:tblLook w:val="04A0"/>
        </w:tblPrEx>
        <w:tc>
          <w:tcPr>
            <w:tcW w:w="5069" w:type="dxa"/>
          </w:tcPr>
          <w:p w:rsidR="002002F0" w:rsidP="0075430F">
            <w:pPr>
              <w:ind w:left="180"/>
              <w:rPr>
                <w:rFonts w:ascii="Arial" w:eastAsia="Arial" w:hAnsi="Arial" w:cs="Arial"/>
              </w:rPr>
            </w:pPr>
            <w:r>
              <w:rPr>
                <w:rFonts w:ascii="Arial" w:eastAsia="Arial" w:hAnsi="Arial" w:cs="Arial"/>
              </w:rPr>
              <w:t>POSITIONS - LEGISLATIVE COUNT</w:t>
            </w:r>
          </w:p>
        </w:tc>
        <w:tc>
          <w:tcPr>
            <w:tcW w:w="1469" w:type="dxa"/>
          </w:tcPr>
          <w:p w:rsidR="002002F0" w:rsidP="0075430F">
            <w:pPr>
              <w:jc w:val="right"/>
              <w:rPr>
                <w:rFonts w:ascii="Arial" w:eastAsia="Arial" w:hAnsi="Arial" w:cs="Arial"/>
              </w:rPr>
            </w:pPr>
            <w:r>
              <w:rPr>
                <w:rFonts w:ascii="Arial" w:eastAsia="Arial" w:hAnsi="Arial" w:cs="Arial"/>
              </w:rPr>
              <w:t>0.500</w:t>
            </w:r>
          </w:p>
        </w:tc>
        <w:tc>
          <w:tcPr>
            <w:tcW w:w="1469" w:type="dxa"/>
          </w:tcPr>
          <w:p w:rsidR="002002F0" w:rsidP="0075430F">
            <w:pPr>
              <w:jc w:val="right"/>
              <w:rPr>
                <w:rFonts w:ascii="Arial" w:eastAsia="Arial" w:hAnsi="Arial" w:cs="Arial"/>
              </w:rPr>
            </w:pPr>
            <w:r>
              <w:rPr>
                <w:rFonts w:ascii="Arial" w:eastAsia="Arial" w:hAnsi="Arial" w:cs="Arial"/>
              </w:rPr>
              <w:t>0.500</w:t>
            </w:r>
          </w:p>
        </w:tc>
      </w:tr>
      <w:tr w:rsidTr="0075430F">
        <w:tblPrEx>
          <w:tblW w:w="0" w:type="auto"/>
          <w:tblInd w:w="360" w:type="dxa"/>
          <w:tblCellMar>
            <w:left w:w="0" w:type="dxa"/>
            <w:right w:w="0" w:type="dxa"/>
          </w:tblCellMar>
          <w:tblLook w:val="04A0"/>
        </w:tblPrEx>
        <w:tc>
          <w:tcPr>
            <w:tcW w:w="5069" w:type="dxa"/>
          </w:tcPr>
          <w:p w:rsidR="002002F0" w:rsidP="0075430F">
            <w:pPr>
              <w:ind w:left="180"/>
              <w:rPr>
                <w:rFonts w:ascii="Arial" w:eastAsia="Arial" w:hAnsi="Arial" w:cs="Arial"/>
              </w:rPr>
            </w:pPr>
            <w:r>
              <w:rPr>
                <w:rFonts w:ascii="Arial" w:eastAsia="Arial" w:hAnsi="Arial" w:cs="Arial"/>
              </w:rPr>
              <w:t>Personal Services</w:t>
            </w:r>
          </w:p>
        </w:tc>
        <w:tc>
          <w:tcPr>
            <w:tcW w:w="1469" w:type="dxa"/>
          </w:tcPr>
          <w:p w:rsidR="002002F0" w:rsidP="0075430F">
            <w:pPr>
              <w:jc w:val="right"/>
              <w:rPr>
                <w:rFonts w:ascii="Arial" w:eastAsia="Arial" w:hAnsi="Arial" w:cs="Arial"/>
              </w:rPr>
            </w:pPr>
            <w:r>
              <w:rPr>
                <w:rFonts w:ascii="Arial" w:eastAsia="Arial" w:hAnsi="Arial" w:cs="Arial"/>
              </w:rPr>
              <w:t>$35,328</w:t>
            </w:r>
          </w:p>
        </w:tc>
        <w:tc>
          <w:tcPr>
            <w:tcW w:w="1469" w:type="dxa"/>
          </w:tcPr>
          <w:p w:rsidR="002002F0" w:rsidP="0075430F">
            <w:pPr>
              <w:jc w:val="right"/>
              <w:rPr>
                <w:rFonts w:ascii="Arial" w:eastAsia="Arial" w:hAnsi="Arial" w:cs="Arial"/>
              </w:rPr>
            </w:pPr>
            <w:r>
              <w:rPr>
                <w:rFonts w:ascii="Arial" w:eastAsia="Arial" w:hAnsi="Arial" w:cs="Arial"/>
              </w:rPr>
              <w:t>$49,424</w:t>
            </w:r>
          </w:p>
        </w:tc>
      </w:tr>
      <w:tr w:rsidTr="0075430F">
        <w:tblPrEx>
          <w:tblW w:w="0" w:type="auto"/>
          <w:tblInd w:w="360" w:type="dxa"/>
          <w:tblCellMar>
            <w:left w:w="0" w:type="dxa"/>
            <w:right w:w="0" w:type="dxa"/>
          </w:tblCellMar>
          <w:tblLook w:val="04A0"/>
        </w:tblPrEx>
        <w:tc>
          <w:tcPr>
            <w:tcW w:w="5069" w:type="dxa"/>
          </w:tcPr>
          <w:p w:rsidR="002002F0" w:rsidP="0075430F">
            <w:pPr>
              <w:ind w:left="180"/>
              <w:rPr>
                <w:rFonts w:ascii="Arial" w:eastAsia="Arial" w:hAnsi="Arial" w:cs="Arial"/>
              </w:rPr>
            </w:pPr>
            <w:r>
              <w:rPr>
                <w:rFonts w:ascii="Arial" w:eastAsia="Arial" w:hAnsi="Arial" w:cs="Arial"/>
              </w:rPr>
              <w:t>All Other</w:t>
            </w:r>
          </w:p>
        </w:tc>
        <w:tc>
          <w:tcPr>
            <w:tcW w:w="1469" w:type="dxa"/>
          </w:tcPr>
          <w:p w:rsidR="002002F0" w:rsidP="0075430F">
            <w:pPr>
              <w:jc w:val="right"/>
              <w:rPr>
                <w:rFonts w:ascii="Arial" w:eastAsia="Arial" w:hAnsi="Arial" w:cs="Arial"/>
              </w:rPr>
            </w:pPr>
            <w:r>
              <w:rPr>
                <w:rFonts w:ascii="Arial" w:eastAsia="Arial" w:hAnsi="Arial" w:cs="Arial"/>
              </w:rPr>
              <w:t>$5,782</w:t>
            </w:r>
          </w:p>
        </w:tc>
        <w:tc>
          <w:tcPr>
            <w:tcW w:w="1469" w:type="dxa"/>
          </w:tcPr>
          <w:p w:rsidR="002002F0" w:rsidP="0075430F">
            <w:pPr>
              <w:jc w:val="right"/>
              <w:rPr>
                <w:rFonts w:ascii="Arial" w:eastAsia="Arial" w:hAnsi="Arial" w:cs="Arial"/>
              </w:rPr>
            </w:pPr>
            <w:r>
              <w:rPr>
                <w:rFonts w:ascii="Arial" w:eastAsia="Arial" w:hAnsi="Arial" w:cs="Arial"/>
              </w:rPr>
              <w:t>$2,904</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rPr>
              <w:t xml:space="preserve"> </w:t>
            </w:r>
          </w:p>
        </w:tc>
        <w:tc>
          <w:tcPr>
            <w:tcW w:w="1469" w:type="dxa"/>
          </w:tcPr>
          <w:p w:rsidR="002002F0" w:rsidP="0075430F">
            <w:pPr>
              <w:jc w:val="right"/>
              <w:rPr>
                <w:rFonts w:ascii="Arial" w:eastAsia="Arial" w:hAnsi="Arial" w:cs="Arial"/>
              </w:rPr>
            </w:pPr>
            <w:r>
              <w:rPr>
                <w:rFonts w:ascii="Arial" w:eastAsia="Arial" w:hAnsi="Arial" w:cs="Arial"/>
              </w:rPr>
              <w:t>__________</w:t>
            </w:r>
          </w:p>
        </w:tc>
        <w:tc>
          <w:tcPr>
            <w:tcW w:w="1469" w:type="dxa"/>
          </w:tcPr>
          <w:p w:rsidR="002002F0" w:rsidP="0075430F">
            <w:pPr>
              <w:jc w:val="right"/>
              <w:rPr>
                <w:rFonts w:ascii="Arial" w:eastAsia="Arial" w:hAnsi="Arial" w:cs="Arial"/>
              </w:rPr>
            </w:pPr>
            <w:r>
              <w:rPr>
                <w:rFonts w:ascii="Arial" w:eastAsia="Arial" w:hAnsi="Arial" w:cs="Arial"/>
              </w:rPr>
              <w:t>__________</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rPr>
              <w:t>OTHER SPECIAL REVENUE FUNDS TOTAL</w:t>
            </w:r>
          </w:p>
        </w:tc>
        <w:tc>
          <w:tcPr>
            <w:tcW w:w="1469" w:type="dxa"/>
          </w:tcPr>
          <w:p w:rsidR="002002F0" w:rsidP="0075430F">
            <w:pPr>
              <w:jc w:val="right"/>
              <w:rPr>
                <w:rFonts w:ascii="Arial" w:eastAsia="Arial" w:hAnsi="Arial" w:cs="Arial"/>
              </w:rPr>
            </w:pPr>
            <w:r>
              <w:rPr>
                <w:rFonts w:ascii="Arial" w:eastAsia="Arial" w:hAnsi="Arial" w:cs="Arial"/>
              </w:rPr>
              <w:t>$41,110</w:t>
            </w:r>
          </w:p>
        </w:tc>
        <w:tc>
          <w:tcPr>
            <w:tcW w:w="1469" w:type="dxa"/>
          </w:tcPr>
          <w:p w:rsidR="002002F0" w:rsidP="0075430F">
            <w:pPr>
              <w:jc w:val="right"/>
              <w:rPr>
                <w:rFonts w:ascii="Arial" w:eastAsia="Arial" w:hAnsi="Arial" w:cs="Arial"/>
              </w:rPr>
            </w:pPr>
            <w:r>
              <w:rPr>
                <w:rFonts w:ascii="Arial" w:eastAsia="Arial" w:hAnsi="Arial" w:cs="Arial"/>
              </w:rPr>
              <w:t>$52,328</w:t>
            </w:r>
          </w:p>
        </w:tc>
      </w:tr>
    </w:tbl>
    <w:p w:rsidR="002002F0" w:rsidP="002002F0">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b/>
              </w:rPr>
              <w:t>PROFESSIONAL AND FINANCIAL REGULATION, DEPARTMENT OF</w:t>
            </w:r>
          </w:p>
        </w:tc>
        <w:tc>
          <w:tcPr>
            <w:tcW w:w="1469" w:type="dxa"/>
          </w:tcPr>
          <w:p w:rsidR="002002F0" w:rsidP="0075430F">
            <w:pPr>
              <w:rPr>
                <w:rFonts w:ascii="Arial" w:eastAsia="Arial" w:hAnsi="Arial" w:cs="Arial"/>
              </w:rPr>
            </w:pPr>
            <w:r>
              <w:rPr>
                <w:rFonts w:ascii="Arial" w:eastAsia="Arial" w:hAnsi="Arial" w:cs="Arial"/>
              </w:rPr>
              <w:t xml:space="preserve"> </w:t>
            </w:r>
          </w:p>
        </w:tc>
        <w:tc>
          <w:tcPr>
            <w:tcW w:w="1469" w:type="dxa"/>
          </w:tcPr>
          <w:p w:rsidR="002002F0" w:rsidP="0075430F">
            <w:pPr>
              <w:rPr>
                <w:rFonts w:ascii="Arial" w:eastAsia="Arial" w:hAnsi="Arial" w:cs="Arial"/>
              </w:rPr>
            </w:pPr>
            <w:r>
              <w:rPr>
                <w:rFonts w:ascii="Arial" w:eastAsia="Arial" w:hAnsi="Arial" w:cs="Arial"/>
              </w:rPr>
              <w:t xml:space="preserve"> </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b/>
              </w:rPr>
              <w:t>DEPARTMENT TOTALS</w:t>
            </w:r>
          </w:p>
        </w:tc>
        <w:tc>
          <w:tcPr>
            <w:tcW w:w="1469" w:type="dxa"/>
          </w:tcPr>
          <w:p w:rsidR="002002F0" w:rsidP="0075430F">
            <w:pPr>
              <w:jc w:val="right"/>
              <w:rPr>
                <w:rFonts w:ascii="Arial" w:eastAsia="Arial" w:hAnsi="Arial" w:cs="Arial"/>
              </w:rPr>
            </w:pPr>
            <w:r>
              <w:rPr>
                <w:rFonts w:ascii="Arial" w:eastAsia="Arial" w:hAnsi="Arial" w:cs="Arial"/>
                <w:b/>
              </w:rPr>
              <w:t>2021-22</w:t>
            </w:r>
          </w:p>
        </w:tc>
        <w:tc>
          <w:tcPr>
            <w:tcW w:w="1469" w:type="dxa"/>
          </w:tcPr>
          <w:p w:rsidR="002002F0" w:rsidP="0075430F">
            <w:pPr>
              <w:jc w:val="right"/>
              <w:rPr>
                <w:rFonts w:ascii="Arial" w:eastAsia="Arial" w:hAnsi="Arial" w:cs="Arial"/>
              </w:rPr>
            </w:pPr>
            <w:r>
              <w:rPr>
                <w:rFonts w:ascii="Arial" w:eastAsia="Arial" w:hAnsi="Arial" w:cs="Arial"/>
                <w:b/>
              </w:rPr>
              <w:t>2022-23</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rPr>
              <w:t xml:space="preserve"> </w:t>
            </w:r>
          </w:p>
        </w:tc>
        <w:tc>
          <w:tcPr>
            <w:tcW w:w="1469" w:type="dxa"/>
          </w:tcPr>
          <w:p w:rsidR="002002F0" w:rsidP="0075430F">
            <w:pPr>
              <w:rPr>
                <w:rFonts w:ascii="Arial" w:eastAsia="Arial" w:hAnsi="Arial" w:cs="Arial"/>
              </w:rPr>
            </w:pPr>
            <w:r>
              <w:rPr>
                <w:rFonts w:ascii="Arial" w:eastAsia="Arial" w:hAnsi="Arial" w:cs="Arial"/>
              </w:rPr>
              <w:t xml:space="preserve"> </w:t>
            </w:r>
          </w:p>
        </w:tc>
        <w:tc>
          <w:tcPr>
            <w:tcW w:w="1469" w:type="dxa"/>
          </w:tcPr>
          <w:p w:rsidR="002002F0" w:rsidP="0075430F">
            <w:pPr>
              <w:rPr>
                <w:rFonts w:ascii="Arial" w:eastAsia="Arial" w:hAnsi="Arial" w:cs="Arial"/>
              </w:rPr>
            </w:pPr>
            <w:r>
              <w:rPr>
                <w:rFonts w:ascii="Arial" w:eastAsia="Arial" w:hAnsi="Arial" w:cs="Arial"/>
              </w:rPr>
              <w:t xml:space="preserve"> </w:t>
            </w:r>
          </w:p>
        </w:tc>
      </w:tr>
      <w:tr w:rsidTr="0075430F">
        <w:tblPrEx>
          <w:tblW w:w="0" w:type="auto"/>
          <w:tblInd w:w="360" w:type="dxa"/>
          <w:tblCellMar>
            <w:left w:w="0" w:type="dxa"/>
            <w:right w:w="0" w:type="dxa"/>
          </w:tblCellMar>
          <w:tblLook w:val="04A0"/>
        </w:tblPrEx>
        <w:tc>
          <w:tcPr>
            <w:tcW w:w="5069" w:type="dxa"/>
          </w:tcPr>
          <w:p w:rsidR="002002F0" w:rsidP="0075430F">
            <w:pPr>
              <w:ind w:left="180"/>
              <w:rPr>
                <w:rFonts w:ascii="Arial" w:eastAsia="Arial" w:hAnsi="Arial" w:cs="Arial"/>
              </w:rPr>
            </w:pPr>
            <w:r>
              <w:rPr>
                <w:rFonts w:ascii="Arial" w:eastAsia="Arial" w:hAnsi="Arial" w:cs="Arial"/>
                <w:b/>
              </w:rPr>
              <w:t>OTHER SPECIAL REVENUE FUNDS</w:t>
            </w:r>
          </w:p>
        </w:tc>
        <w:tc>
          <w:tcPr>
            <w:tcW w:w="1469" w:type="dxa"/>
          </w:tcPr>
          <w:p w:rsidR="002002F0" w:rsidP="0075430F">
            <w:pPr>
              <w:jc w:val="right"/>
              <w:rPr>
                <w:rFonts w:ascii="Arial" w:eastAsia="Arial" w:hAnsi="Arial" w:cs="Arial"/>
              </w:rPr>
            </w:pPr>
            <w:r>
              <w:rPr>
                <w:rFonts w:ascii="Arial" w:eastAsia="Arial" w:hAnsi="Arial" w:cs="Arial"/>
                <w:b/>
              </w:rPr>
              <w:t>$43,839</w:t>
            </w:r>
          </w:p>
        </w:tc>
        <w:tc>
          <w:tcPr>
            <w:tcW w:w="1469" w:type="dxa"/>
          </w:tcPr>
          <w:p w:rsidR="002002F0" w:rsidP="0075430F">
            <w:pPr>
              <w:jc w:val="right"/>
              <w:rPr>
                <w:rFonts w:ascii="Arial" w:eastAsia="Arial" w:hAnsi="Arial" w:cs="Arial"/>
              </w:rPr>
            </w:pPr>
            <w:r>
              <w:rPr>
                <w:rFonts w:ascii="Arial" w:eastAsia="Arial" w:hAnsi="Arial" w:cs="Arial"/>
                <w:b/>
              </w:rPr>
              <w:t>$55,675</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rPr>
              <w:t xml:space="preserve"> </w:t>
            </w:r>
          </w:p>
        </w:tc>
        <w:tc>
          <w:tcPr>
            <w:tcW w:w="1469" w:type="dxa"/>
          </w:tcPr>
          <w:p w:rsidR="002002F0" w:rsidP="0075430F">
            <w:pPr>
              <w:jc w:val="right"/>
              <w:rPr>
                <w:rFonts w:ascii="Arial" w:eastAsia="Arial" w:hAnsi="Arial" w:cs="Arial"/>
              </w:rPr>
            </w:pPr>
            <w:r>
              <w:rPr>
                <w:rFonts w:ascii="Arial" w:eastAsia="Arial" w:hAnsi="Arial" w:cs="Arial"/>
              </w:rPr>
              <w:t>__________</w:t>
            </w:r>
          </w:p>
        </w:tc>
        <w:tc>
          <w:tcPr>
            <w:tcW w:w="1469" w:type="dxa"/>
          </w:tcPr>
          <w:p w:rsidR="002002F0" w:rsidP="0075430F">
            <w:pPr>
              <w:jc w:val="right"/>
              <w:rPr>
                <w:rFonts w:ascii="Arial" w:eastAsia="Arial" w:hAnsi="Arial" w:cs="Arial"/>
              </w:rPr>
            </w:pPr>
            <w:r>
              <w:rPr>
                <w:rFonts w:ascii="Arial" w:eastAsia="Arial" w:hAnsi="Arial" w:cs="Arial"/>
              </w:rPr>
              <w:t>__________</w:t>
            </w:r>
          </w:p>
        </w:tc>
      </w:tr>
      <w:tr w:rsidTr="0075430F">
        <w:tblPrEx>
          <w:tblW w:w="0" w:type="auto"/>
          <w:tblInd w:w="360" w:type="dxa"/>
          <w:tblCellMar>
            <w:left w:w="0" w:type="dxa"/>
            <w:right w:w="0" w:type="dxa"/>
          </w:tblCellMar>
          <w:tblLook w:val="04A0"/>
        </w:tblPrEx>
        <w:tc>
          <w:tcPr>
            <w:tcW w:w="5069" w:type="dxa"/>
          </w:tcPr>
          <w:p w:rsidR="002002F0" w:rsidP="0075430F">
            <w:pPr>
              <w:rPr>
                <w:rFonts w:ascii="Arial" w:eastAsia="Arial" w:hAnsi="Arial" w:cs="Arial"/>
              </w:rPr>
            </w:pPr>
            <w:r>
              <w:rPr>
                <w:rFonts w:ascii="Arial" w:eastAsia="Arial" w:hAnsi="Arial" w:cs="Arial"/>
                <w:b/>
              </w:rPr>
              <w:t>DEPARTMENT TOTAL - ALL FUNDS</w:t>
            </w:r>
          </w:p>
        </w:tc>
        <w:tc>
          <w:tcPr>
            <w:tcW w:w="1469" w:type="dxa"/>
          </w:tcPr>
          <w:p w:rsidR="002002F0" w:rsidP="0075430F">
            <w:pPr>
              <w:jc w:val="right"/>
              <w:rPr>
                <w:rFonts w:ascii="Arial" w:eastAsia="Arial" w:hAnsi="Arial" w:cs="Arial"/>
              </w:rPr>
            </w:pPr>
            <w:r>
              <w:rPr>
                <w:rFonts w:ascii="Arial" w:eastAsia="Arial" w:hAnsi="Arial" w:cs="Arial"/>
                <w:b/>
              </w:rPr>
              <w:t>$43,839</w:t>
            </w:r>
          </w:p>
        </w:tc>
        <w:tc>
          <w:tcPr>
            <w:tcW w:w="1469" w:type="dxa"/>
          </w:tcPr>
          <w:p w:rsidR="002002F0" w:rsidP="0075430F">
            <w:pPr>
              <w:jc w:val="right"/>
              <w:rPr>
                <w:rFonts w:ascii="Arial" w:eastAsia="Arial" w:hAnsi="Arial" w:cs="Arial"/>
              </w:rPr>
            </w:pPr>
            <w:r>
              <w:rPr>
                <w:rFonts w:ascii="Arial" w:eastAsia="Arial" w:hAnsi="Arial" w:cs="Arial"/>
                <w:b/>
              </w:rPr>
              <w:t>$55,675</w:t>
            </w:r>
          </w:p>
        </w:tc>
      </w:tr>
      <w:bookmarkEnd w:id="2"/>
      <w:bookmarkEnd w:id="6"/>
      <w:bookmarkEnd w:id="202"/>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LR1215,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Access to HIV Prevention Medications</w:t>
    </w:r>
  </w:p>
  <w:p>
    <w:pPr>
      <w:suppressLineNumbers/>
      <w:spacing w:before="0" w:after="0"/>
      <w:jc w:val="center"/>
      <w:rPr>
        <w:rFonts w:ascii="Arial" w:eastAsia="Arial" w:hAnsi="Arial" w:cs="Arial"/>
      </w:rPr>
    </w:pPr>
    <w:r>
      <w:rPr>
        <w:rFonts w:ascii="Arial" w:eastAsia="Arial" w:hAnsi="Arial" w:cs="Arial"/>
        <w:sz w:val="22"/>
      </w:rPr>
      <w:t>L.D. 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002F0"/>
    <w:rsid w:val="00257B1E"/>
    <w:rsid w:val="002A3C2A"/>
    <w:rsid w:val="002A3D55"/>
    <w:rsid w:val="002D357F"/>
    <w:rsid w:val="00361F3E"/>
    <w:rsid w:val="003D0121"/>
    <w:rsid w:val="003F2563"/>
    <w:rsid w:val="003F315D"/>
    <w:rsid w:val="00417176"/>
    <w:rsid w:val="00424146"/>
    <w:rsid w:val="00487F65"/>
    <w:rsid w:val="00497346"/>
    <w:rsid w:val="004A4378"/>
    <w:rsid w:val="005500BF"/>
    <w:rsid w:val="005568B1"/>
    <w:rsid w:val="00564135"/>
    <w:rsid w:val="00574B75"/>
    <w:rsid w:val="00610E2A"/>
    <w:rsid w:val="00641982"/>
    <w:rsid w:val="006714D5"/>
    <w:rsid w:val="00695EDF"/>
    <w:rsid w:val="006D40C3"/>
    <w:rsid w:val="0075430F"/>
    <w:rsid w:val="007D72C8"/>
    <w:rsid w:val="007F3B1E"/>
    <w:rsid w:val="00801F19"/>
    <w:rsid w:val="00806421"/>
    <w:rsid w:val="00855D12"/>
    <w:rsid w:val="008A5943"/>
    <w:rsid w:val="0092322A"/>
    <w:rsid w:val="009367EC"/>
    <w:rsid w:val="0099722B"/>
    <w:rsid w:val="009B3D4F"/>
    <w:rsid w:val="009C2DCE"/>
    <w:rsid w:val="009D6A0B"/>
    <w:rsid w:val="009E724F"/>
    <w:rsid w:val="009F6C9E"/>
    <w:rsid w:val="00A81643"/>
    <w:rsid w:val="00AA73FC"/>
    <w:rsid w:val="00B4353D"/>
    <w:rsid w:val="00B45FFB"/>
    <w:rsid w:val="00B5130C"/>
    <w:rsid w:val="00B97FEC"/>
    <w:rsid w:val="00BC0528"/>
    <w:rsid w:val="00BC3B30"/>
    <w:rsid w:val="00BE5DC0"/>
    <w:rsid w:val="00C44E26"/>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