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Improve the Investigation and Prosecution of Cases That Involve Vulnerable Road Users</w:t>
      </w:r>
    </w:p>
    <w:p w:rsidR="00760D1D" w:rsidP="00760D1D">
      <w:pPr>
        <w:spacing w:after="240"/>
        <w:ind w:left="360"/>
        <w:jc w:val="right"/>
        <w:rPr>
          <w:rFonts w:ascii="Arial" w:eastAsia="Arial" w:hAnsi="Arial" w:cs="Arial"/>
          <w:caps/>
        </w:rPr>
      </w:pPr>
      <w:bookmarkStart w:id="0" w:name="_AMEND_TITLE__f6ce7b48_2eba_44e2_acec_eb"/>
      <w:bookmarkStart w:id="1" w:name="_PAGE__1_ed2a19d7_4ace_4568_9992_18c3192"/>
      <w:bookmarkStart w:id="2" w:name="_PAR__2_7c1e5f53_4e6c_4a64_ae71_a627f9a7"/>
      <w:r>
        <w:rPr>
          <w:rFonts w:ascii="Arial" w:eastAsia="Arial" w:hAnsi="Arial" w:cs="Arial"/>
          <w:caps/>
        </w:rPr>
        <w:t>L.D. 821</w:t>
      </w:r>
    </w:p>
    <w:p w:rsidR="00760D1D" w:rsidP="00760D1D">
      <w:pPr>
        <w:tabs>
          <w:tab w:val="right" w:pos="8928"/>
        </w:tabs>
        <w:spacing w:after="360"/>
        <w:ind w:left="360"/>
        <w:rPr>
          <w:rFonts w:ascii="Arial" w:eastAsia="Arial" w:hAnsi="Arial" w:cs="Arial"/>
        </w:rPr>
      </w:pPr>
      <w:bookmarkStart w:id="3" w:name="_PAR__3_938329c3_a321_46ae_9094_c705caea"/>
      <w:bookmarkEnd w:id="2"/>
      <w:r>
        <w:rPr>
          <w:rFonts w:ascii="Arial" w:eastAsia="Arial" w:hAnsi="Arial" w:cs="Arial"/>
        </w:rPr>
        <w:t>Date:</w:t>
      </w:r>
      <w:r>
        <w:rPr>
          <w:rFonts w:ascii="Arial" w:eastAsia="Arial" w:hAnsi="Arial" w:cs="Arial"/>
        </w:rPr>
        <w:tab/>
        <w:t>(Filing No. S-         )</w:t>
      </w:r>
    </w:p>
    <w:p w:rsidR="00760D1D" w:rsidP="00760D1D">
      <w:pPr>
        <w:spacing w:before="600" w:after="300"/>
        <w:ind w:left="360"/>
        <w:jc w:val="center"/>
        <w:outlineLvl w:val="0"/>
        <w:rPr>
          <w:rFonts w:ascii="Arial" w:eastAsia="Arial" w:hAnsi="Arial" w:cs="Arial"/>
        </w:rPr>
      </w:pPr>
      <w:bookmarkStart w:id="4" w:name="_PAR__4_9a9a3e17_b81b_4621_a84d_c547b171"/>
      <w:bookmarkEnd w:id="3"/>
      <w:r>
        <w:rPr>
          <w:rFonts w:ascii="Arial" w:eastAsia="Arial" w:hAnsi="Arial" w:cs="Arial"/>
          <w:b/>
          <w:caps/>
          <w:sz w:val="24"/>
          <w:szCs w:val="32"/>
        </w:rPr>
        <w:t xml:space="preserve">Transportation </w:t>
      </w:r>
    </w:p>
    <w:p w:rsidR="00760D1D" w:rsidP="00760D1D">
      <w:pPr>
        <w:spacing w:before="60" w:after="60"/>
        <w:ind w:left="720"/>
        <w:rPr>
          <w:rFonts w:ascii="Arial" w:eastAsia="Arial" w:hAnsi="Arial" w:cs="Arial"/>
        </w:rPr>
      </w:pPr>
      <w:bookmarkStart w:id="5" w:name="_PAR__5_0eba7f2e_5825_403a_acfb_3607e894"/>
      <w:bookmarkEnd w:id="4"/>
      <w:r>
        <w:rPr>
          <w:rFonts w:ascii="Arial" w:eastAsia="Arial" w:hAnsi="Arial" w:cs="Arial"/>
        </w:rPr>
        <w:t>Reproduced and distributed under the direction of the Secretary of the Senate.</w:t>
      </w:r>
    </w:p>
    <w:p w:rsidR="00760D1D" w:rsidP="00760D1D">
      <w:pPr>
        <w:spacing w:before="160" w:after="0"/>
        <w:ind w:left="360"/>
        <w:jc w:val="center"/>
        <w:outlineLvl w:val="0"/>
        <w:rPr>
          <w:rFonts w:ascii="Arial" w:eastAsia="Arial" w:hAnsi="Arial" w:cs="Arial"/>
          <w:b/>
          <w:caps/>
          <w:sz w:val="24"/>
          <w:szCs w:val="32"/>
        </w:rPr>
      </w:pPr>
      <w:bookmarkStart w:id="6" w:name="_PAR__6_f05385a7_e6be_4b75_9795_2334d21f"/>
      <w:bookmarkEnd w:id="5"/>
      <w:r>
        <w:rPr>
          <w:rFonts w:ascii="Arial" w:eastAsia="Arial" w:hAnsi="Arial" w:cs="Arial"/>
          <w:b/>
          <w:caps/>
          <w:sz w:val="24"/>
          <w:szCs w:val="32"/>
        </w:rPr>
        <w:t>STATE OF MAINE</w:t>
      </w:r>
    </w:p>
    <w:p w:rsidR="00760D1D" w:rsidP="00760D1D">
      <w:pPr>
        <w:spacing w:after="0"/>
        <w:ind w:left="360"/>
        <w:jc w:val="center"/>
        <w:outlineLvl w:val="0"/>
        <w:rPr>
          <w:rFonts w:ascii="Arial" w:eastAsia="Arial" w:hAnsi="Arial" w:cs="Arial"/>
          <w:b/>
          <w:caps/>
          <w:sz w:val="24"/>
          <w:szCs w:val="32"/>
        </w:rPr>
      </w:pPr>
      <w:bookmarkStart w:id="7" w:name="_PAR__7_b55d530f_915a_4de1_ad60_fe698830"/>
      <w:bookmarkEnd w:id="6"/>
      <w:r>
        <w:rPr>
          <w:rFonts w:ascii="Arial" w:eastAsia="Arial" w:hAnsi="Arial" w:cs="Arial"/>
          <w:b/>
          <w:caps/>
          <w:sz w:val="24"/>
          <w:szCs w:val="32"/>
        </w:rPr>
        <w:t>SENATE</w:t>
      </w:r>
    </w:p>
    <w:p w:rsidR="00760D1D" w:rsidP="00760D1D">
      <w:pPr>
        <w:spacing w:after="0"/>
        <w:ind w:left="360"/>
        <w:jc w:val="center"/>
        <w:outlineLvl w:val="0"/>
        <w:rPr>
          <w:rFonts w:ascii="Arial" w:eastAsia="Arial" w:hAnsi="Arial" w:cs="Arial"/>
          <w:b/>
          <w:caps/>
          <w:sz w:val="24"/>
          <w:szCs w:val="32"/>
        </w:rPr>
      </w:pPr>
      <w:bookmarkStart w:id="8" w:name="_PAR__8_97723383_717e_427d_8110_24584081"/>
      <w:bookmarkEnd w:id="7"/>
      <w:r>
        <w:rPr>
          <w:rFonts w:ascii="Arial" w:eastAsia="Arial" w:hAnsi="Arial" w:cs="Arial"/>
          <w:b/>
          <w:caps/>
          <w:sz w:val="24"/>
          <w:szCs w:val="32"/>
        </w:rPr>
        <w:t>130th Legislature</w:t>
      </w:r>
    </w:p>
    <w:p w:rsidR="00760D1D" w:rsidP="00760D1D">
      <w:pPr>
        <w:spacing w:after="0"/>
        <w:ind w:left="360"/>
        <w:jc w:val="center"/>
        <w:outlineLvl w:val="0"/>
        <w:rPr>
          <w:rFonts w:ascii="Arial" w:eastAsia="Arial" w:hAnsi="Arial" w:cs="Arial"/>
          <w:b/>
          <w:caps/>
          <w:sz w:val="24"/>
          <w:szCs w:val="32"/>
        </w:rPr>
      </w:pPr>
      <w:bookmarkStart w:id="9" w:name="_PAR__9_4d07c264_55e9_48f5_8bf0_888bc954"/>
      <w:bookmarkEnd w:id="8"/>
      <w:r>
        <w:rPr>
          <w:rFonts w:ascii="Arial" w:eastAsia="Arial" w:hAnsi="Arial" w:cs="Arial"/>
          <w:b/>
          <w:caps/>
          <w:sz w:val="24"/>
          <w:szCs w:val="32"/>
        </w:rPr>
        <w:t>First Special Session</w:t>
      </w:r>
    </w:p>
    <w:p w:rsidR="00760D1D" w:rsidP="00760D1D">
      <w:pPr>
        <w:spacing w:before="400" w:after="200"/>
        <w:ind w:left="360" w:firstLine="360"/>
        <w:rPr>
          <w:rFonts w:ascii="Arial" w:eastAsia="Arial" w:hAnsi="Arial" w:cs="Arial"/>
        </w:rPr>
      </w:pPr>
      <w:bookmarkStart w:id="10" w:name="_PAR__10_ff9d56d5_b4ee_4740_a2ea_f8b673b"/>
      <w:bookmarkEnd w:id="9"/>
      <w:r>
        <w:rPr>
          <w:rFonts w:ascii="Arial" w:eastAsia="Arial" w:hAnsi="Arial" w:cs="Arial"/>
          <w:szCs w:val="22"/>
        </w:rPr>
        <w:t>COMMITTEE AMENDMENT “      ” to S.P. 208, L.D. 821, “An Act To Improve the Investigation and Prosecution of Cases That Involve Vulnerable Road Users”</w:t>
      </w:r>
    </w:p>
    <w:p w:rsidR="00760D1D" w:rsidP="00760D1D">
      <w:pPr>
        <w:ind w:left="360" w:firstLine="360"/>
        <w:rPr>
          <w:rFonts w:ascii="Arial" w:eastAsia="Arial" w:hAnsi="Arial" w:cs="Arial"/>
        </w:rPr>
      </w:pPr>
      <w:bookmarkStart w:id="11" w:name="_INSTRUCTION__03fb8742_3f25_4d17_967d_e7"/>
      <w:bookmarkStart w:id="12" w:name="_PAR__11_d0ec9a0e_6d01_4abf_a7de_efa3cee"/>
      <w:bookmarkEnd w:id="0"/>
      <w:bookmarkEnd w:id="10"/>
      <w:r>
        <w:rPr>
          <w:rFonts w:ascii="Arial" w:eastAsia="Arial" w:hAnsi="Arial" w:cs="Arial"/>
        </w:rPr>
        <w:t>Amend the bill by striking out everything after the enacting clause and inserting the following:</w:t>
      </w:r>
    </w:p>
    <w:p w:rsidR="00760D1D" w:rsidP="00760D1D">
      <w:pPr>
        <w:ind w:left="360" w:firstLine="360"/>
        <w:rPr>
          <w:rFonts w:ascii="Arial" w:eastAsia="Arial" w:hAnsi="Arial" w:cs="Arial"/>
        </w:rPr>
      </w:pPr>
      <w:bookmarkStart w:id="13" w:name="_PAR__12_d482f436_d8c0_439b_aa32_1625eea"/>
      <w:bookmarkEnd w:id="12"/>
      <w:r>
        <w:rPr>
          <w:rFonts w:ascii="Arial" w:eastAsia="Arial" w:hAnsi="Arial" w:cs="Arial"/>
        </w:rPr>
        <w:t>'</w:t>
      </w:r>
      <w:r>
        <w:rPr>
          <w:rFonts w:ascii="Arial" w:eastAsia="Arial" w:hAnsi="Arial" w:cs="Arial"/>
          <w:b/>
          <w:sz w:val="24"/>
        </w:rPr>
        <w:t>Sec. 1.  29-A MRSA §2251, sub-§12</w:t>
      </w:r>
      <w:r>
        <w:rPr>
          <w:rFonts w:ascii="Arial" w:eastAsia="Arial" w:hAnsi="Arial" w:cs="Arial"/>
        </w:rPr>
        <w:t xml:space="preserve"> is enacted to read:</w:t>
      </w:r>
    </w:p>
    <w:p w:rsidR="00760D1D" w:rsidP="00760D1D">
      <w:pPr>
        <w:ind w:left="360" w:firstLine="360"/>
        <w:rPr>
          <w:rFonts w:ascii="Arial" w:eastAsia="Arial" w:hAnsi="Arial" w:cs="Arial"/>
        </w:rPr>
      </w:pPr>
      <w:bookmarkStart w:id="14" w:name="_PAR__13_fa494410_c94d_44d0_8022_8ecd43d"/>
      <w:bookmarkEnd w:id="13"/>
      <w:r>
        <w:rPr>
          <w:rFonts w:ascii="Arial" w:eastAsia="Arial" w:hAnsi="Arial" w:cs="Arial"/>
          <w:b/>
          <w:u w:val="single"/>
        </w:rPr>
        <w:t xml:space="preserve">12.  Vulnerable users. </w:t>
      </w:r>
      <w:r>
        <w:rPr>
          <w:rFonts w:ascii="Arial" w:eastAsia="Arial" w:hAnsi="Arial" w:cs="Arial"/>
          <w:u w:val="single"/>
        </w:rPr>
        <w:t xml:space="preserve"> A law enforcement officer who investigates a reportable accident involving a vulnerable user or an incident resulting in bodily injury or death to a vulnerable user and who has probable cause to believe that a traffic infraction, civil violation or criminal violation is connected to that accident or incident shall inform a district attorney of relevant jurisdiction about the investigation within 5 days of initiating the investigation.  The law enforcement officer shall submit a final accident report to that district attorney including any evidence relevant to the potential prosecution of an alleged criminal violation or civil violation resulting from the investigation as soon as is practicable and no later than 60 days after the accident or incident.  A law enforcement officer may submit any additional evidence as soon as it becomes available after the submission of the final accident report. Failure of a law enforcement officer to inform a district attorney in accordance with this subsection does not affect any authority of a district attorney to take any action or preclude a private citizen from notifying a district attorney about an accident or incident.</w:t>
      </w:r>
      <w:r>
        <w:rPr>
          <w:rFonts w:ascii="Arial" w:eastAsia="Arial" w:hAnsi="Arial" w:cs="Arial"/>
        </w:rPr>
        <w:t>'</w:t>
      </w:r>
    </w:p>
    <w:p w:rsidR="00760D1D" w:rsidP="00760D1D">
      <w:pPr>
        <w:ind w:left="360" w:firstLine="360"/>
        <w:rPr>
          <w:rFonts w:ascii="Arial" w:eastAsia="Arial" w:hAnsi="Arial" w:cs="Arial"/>
        </w:rPr>
      </w:pPr>
      <w:bookmarkStart w:id="15" w:name="_INSTRUCTION__0a463927_4c56_412d_804d_38"/>
      <w:bookmarkStart w:id="16" w:name="_PAR__14_d58b92db_42a3_480a_871f_49ba7e9"/>
      <w:bookmarkEnd w:id="11"/>
      <w:bookmarkEnd w:id="14"/>
      <w:r>
        <w:rPr>
          <w:rFonts w:ascii="Arial" w:eastAsia="Arial" w:hAnsi="Arial" w:cs="Arial"/>
        </w:rPr>
        <w:t>Amend the bill by relettering or renumbering any nonconsecutive Part letter or section number to read consecutively.</w:t>
      </w:r>
    </w:p>
    <w:p w:rsidR="00760D1D" w:rsidP="00760D1D">
      <w:pPr>
        <w:keepNext/>
        <w:spacing w:before="240"/>
        <w:ind w:left="360"/>
        <w:jc w:val="center"/>
        <w:rPr>
          <w:rFonts w:ascii="Arial" w:eastAsia="Arial" w:hAnsi="Arial" w:cs="Arial"/>
        </w:rPr>
      </w:pPr>
      <w:bookmarkStart w:id="17" w:name="_SUMMARY__db821ec2_7971_42e8_9c5c_909469"/>
      <w:bookmarkStart w:id="18" w:name="_PAR__15_7a963b1b_b2ee_4f0b_a87c_08f51cf"/>
      <w:bookmarkEnd w:id="15"/>
      <w:bookmarkEnd w:id="16"/>
      <w:r>
        <w:rPr>
          <w:rFonts w:ascii="Arial" w:eastAsia="Arial" w:hAnsi="Arial" w:cs="Arial"/>
          <w:b/>
          <w:sz w:val="24"/>
        </w:rPr>
        <w:t>SUMMARY</w:t>
      </w:r>
    </w:p>
    <w:p w:rsidR="00760D1D" w:rsidP="00760D1D">
      <w:pPr>
        <w:keepNext/>
        <w:ind w:left="360" w:firstLine="360"/>
        <w:rPr>
          <w:rFonts w:ascii="Arial" w:eastAsia="Arial" w:hAnsi="Arial" w:cs="Arial"/>
        </w:rPr>
      </w:pPr>
      <w:bookmarkStart w:id="19" w:name="_PAR__16_0268e62e_c9b5_4120_acc0_161ae55"/>
      <w:bookmarkEnd w:id="18"/>
      <w:r w:rsidRPr="003B31F2">
        <w:rPr>
          <w:rFonts w:ascii="Arial" w:eastAsia="Arial" w:hAnsi="Arial" w:cs="Arial"/>
        </w:rPr>
        <w:t xml:space="preserve">This amendment strikes and replaces the bill.  The amendment requires a law enforcement officer who investigates a reportable accident involving a vulnerable user or an incident resulting in bodily injury or death to a vulnerable user and who has probable cause to believe that a traffic infraction, civil violation or criminal violation is connected to that accident or incident to inform a district attorney about the investigation within 5 </w:t>
      </w:r>
      <w:bookmarkStart w:id="20" w:name="_PAGE_SPLIT__b4ebccfd_1e4c_45c9_bed5_f70"/>
      <w:bookmarkStart w:id="21" w:name="_PAGE__2_16e5d5c8_1e3f_4f2f_8b6d_01e2f90"/>
      <w:bookmarkStart w:id="22" w:name="_PAR__2_bd64cd38_53aa_40fb_9425_2b0bae4a"/>
      <w:bookmarkEnd w:id="1"/>
      <w:bookmarkEnd w:id="19"/>
      <w:r w:rsidRPr="003B31F2">
        <w:rPr>
          <w:rFonts w:ascii="Arial" w:eastAsia="Arial" w:hAnsi="Arial" w:cs="Arial"/>
        </w:rPr>
        <w:t>d</w:t>
      </w:r>
      <w:bookmarkEnd w:id="20"/>
      <w:r w:rsidRPr="003B31F2">
        <w:rPr>
          <w:rFonts w:ascii="Arial" w:eastAsia="Arial" w:hAnsi="Arial" w:cs="Arial"/>
        </w:rPr>
        <w:t>ays and submit a final</w:t>
      </w:r>
      <w:r>
        <w:rPr>
          <w:rFonts w:ascii="Arial" w:eastAsia="Arial" w:hAnsi="Arial" w:cs="Arial"/>
        </w:rPr>
        <w:t xml:space="preserve"> accident</w:t>
      </w:r>
      <w:r w:rsidRPr="003B31F2">
        <w:rPr>
          <w:rFonts w:ascii="Arial" w:eastAsia="Arial" w:hAnsi="Arial" w:cs="Arial"/>
        </w:rPr>
        <w:t xml:space="preserve"> report as soon as is practicable and no later than 60 days after the accident or incident. </w:t>
      </w:r>
      <w:r>
        <w:rPr>
          <w:rFonts w:ascii="Arial" w:eastAsia="Arial" w:hAnsi="Arial" w:cs="Arial"/>
        </w:rPr>
        <w:t xml:space="preserve"> </w:t>
      </w:r>
      <w:r w:rsidRPr="003B31F2">
        <w:rPr>
          <w:rFonts w:ascii="Arial" w:eastAsia="Arial" w:hAnsi="Arial" w:cs="Arial"/>
        </w:rPr>
        <w:t>Under the traffic laws, a vulnerable user is a person on a public way who is more vulnerable to injury than a person in a motor vehicle.</w:t>
      </w:r>
    </w:p>
    <w:p w:rsidR="00760D1D" w:rsidP="00760D1D">
      <w:pPr>
        <w:keepNext/>
        <w:spacing w:before="60" w:after="60"/>
        <w:ind w:left="360"/>
        <w:jc w:val="center"/>
        <w:rPr>
          <w:rFonts w:ascii="Arial" w:eastAsia="Arial" w:hAnsi="Arial" w:cs="Arial"/>
        </w:rPr>
      </w:pPr>
      <w:bookmarkStart w:id="23" w:name="_FISCAL_NOTE_REQUIRED__c99541f4_b659_451"/>
      <w:bookmarkStart w:id="24" w:name="_PAR__3_14491b2d_cb08_4f5f_8e99_ceb45466"/>
      <w:bookmarkEnd w:id="22"/>
      <w:r>
        <w:rPr>
          <w:rFonts w:ascii="Arial" w:eastAsia="Arial" w:hAnsi="Arial" w:cs="Arial"/>
          <w:b/>
        </w:rPr>
        <w:t>FISCAL NOTE REQUIRED</w:t>
      </w:r>
    </w:p>
    <w:p w:rsidR="00000000" w:rsidRPr="00760D1D" w:rsidP="00760D1D">
      <w:pPr>
        <w:spacing w:before="60" w:after="60"/>
        <w:ind w:left="360"/>
        <w:jc w:val="center"/>
        <w:rPr>
          <w:rFonts w:ascii="Arial" w:eastAsia="Arial" w:hAnsi="Arial" w:cs="Arial"/>
          <w:b/>
        </w:rPr>
      </w:pPr>
      <w:bookmarkStart w:id="25" w:name="_PAR__4_6497fa90_f29a_45b4_a210_344fd9ea"/>
      <w:bookmarkEnd w:id="24"/>
      <w:r>
        <w:rPr>
          <w:rFonts w:ascii="Arial" w:eastAsia="Arial" w:hAnsi="Arial" w:cs="Arial"/>
          <w:b/>
        </w:rPr>
        <w:t>(See attached)</w:t>
      </w:r>
      <w:bookmarkEnd w:id="17"/>
      <w:bookmarkEnd w:id="21"/>
      <w:bookmarkEnd w:id="23"/>
      <w:bookmarkEnd w:id="25"/>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LR1012, item 2 - 130th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Improve the Investigation and Prosecution of Cases That Involve Vulnerable Road Users</w:t>
    </w:r>
  </w:p>
  <w:p>
    <w:pPr>
      <w:suppressLineNumbers/>
      <w:spacing w:before="0" w:after="0"/>
      <w:jc w:val="center"/>
      <w:rPr>
        <w:rFonts w:ascii="Arial" w:eastAsia="Arial" w:hAnsi="Arial" w:cs="Arial"/>
      </w:rPr>
    </w:pPr>
    <w:r>
      <w:rPr>
        <w:rFonts w:ascii="Arial" w:eastAsia="Arial" w:hAnsi="Arial" w:cs="Arial"/>
        <w:sz w:val="22"/>
      </w:rPr>
      <w:t>L.D. 821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B31F2"/>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60D1D"/>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