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Funding for Civil Legal Services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189 - L.D. 483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Clarify Funding for Civil Legal Services</w:t>
      </w:r>
    </w:p>
    <w:p w:rsidR="00014383" w:rsidP="00014383">
      <w:pPr>
        <w:ind w:left="360"/>
        <w:rPr>
          <w:rFonts w:ascii="Arial" w:eastAsia="Arial" w:hAnsi="Arial" w:cs="Arial"/>
        </w:rPr>
      </w:pPr>
      <w:bookmarkStart w:id="0" w:name="_ENACTING_CLAUSE__76a8e312_e6e7_4415_a05"/>
      <w:bookmarkStart w:id="1" w:name="_PAR__6_b69ff68c_206d_41d9_b713_6c7f5cb0"/>
      <w:bookmarkStart w:id="2" w:name="_DOC_BODY_CONTAINER__d3bac5c9_a38c_4594_"/>
      <w:r>
        <w:rPr>
          <w:rFonts w:ascii="Arial" w:eastAsia="Arial" w:hAnsi="Arial" w:cs="Arial"/>
          <w:b/>
        </w:rPr>
        <w:t>Be it enacted by the People of the State of Maine as follows:</w:t>
      </w:r>
    </w:p>
    <w:p w:rsidR="00014383" w:rsidP="00014383">
      <w:pPr>
        <w:ind w:left="360" w:firstLine="360"/>
        <w:rPr>
          <w:rFonts w:ascii="Arial" w:eastAsia="Arial" w:hAnsi="Arial" w:cs="Arial"/>
        </w:rPr>
      </w:pPr>
      <w:bookmarkStart w:id="3" w:name="_BILL_SECTION_HEADER__5696827e_8520_4478"/>
      <w:bookmarkStart w:id="4" w:name="_PAR__7_d9217a77_4a43_4cfb_9649_00550040"/>
      <w:bookmarkStart w:id="5" w:name="_BILL_SECTION__7f183460_9a99_4dfa_b935_9"/>
      <w:bookmarkStart w:id="6" w:name="_DOC_BODY_CONTENT__5596fe96_1559_4e17_b3"/>
      <w:bookmarkEnd w:id="0"/>
      <w:bookmarkEnd w:id="1"/>
      <w:r>
        <w:rPr>
          <w:rFonts w:ascii="Arial" w:eastAsia="Arial" w:hAnsi="Arial" w:cs="Arial"/>
          <w:b/>
          <w:sz w:val="24"/>
        </w:rPr>
        <w:t xml:space="preserve">Sec. </w:t>
      </w:r>
      <w:bookmarkStart w:id="7" w:name="_BILL_SECTION_NUMBER__dc70a6b4_31dc_4ac8"/>
      <w:r>
        <w:rPr>
          <w:rFonts w:ascii="Arial" w:eastAsia="Arial" w:hAnsi="Arial" w:cs="Arial"/>
          <w:b/>
          <w:sz w:val="24"/>
        </w:rPr>
        <w:t>1</w:t>
      </w:r>
      <w:bookmarkEnd w:id="7"/>
      <w:r>
        <w:rPr>
          <w:rFonts w:ascii="Arial" w:eastAsia="Arial" w:hAnsi="Arial" w:cs="Arial"/>
          <w:b/>
          <w:sz w:val="24"/>
        </w:rPr>
        <w:t>.  4 MRSA §18-A, sub-§3-A, ¶C,</w:t>
      </w:r>
      <w:r>
        <w:rPr>
          <w:rFonts w:ascii="Arial" w:eastAsia="Arial" w:hAnsi="Arial" w:cs="Arial"/>
        </w:rPr>
        <w:t xml:space="preserve"> as enacted by PL 2019, c. 509, §3, is amended to read:</w:t>
      </w:r>
    </w:p>
    <w:p w:rsidR="00014383" w:rsidP="00014383">
      <w:pPr>
        <w:ind w:left="720"/>
        <w:rPr>
          <w:rFonts w:ascii="Arial" w:eastAsia="Arial" w:hAnsi="Arial" w:cs="Arial"/>
        </w:rPr>
      </w:pPr>
      <w:bookmarkStart w:id="8" w:name="_STATUTE_NUMBER__da980327_9bbd_4d1d_8fae"/>
      <w:bookmarkStart w:id="9" w:name="_STATUTE_P__e2c597ac_e185_404a_bfc2_1d58"/>
      <w:bookmarkStart w:id="10" w:name="_PAR__8_c7693155_d285_4be0_af45_8feb4f00"/>
      <w:bookmarkEnd w:id="3"/>
      <w:bookmarkEnd w:id="4"/>
      <w:r>
        <w:rPr>
          <w:rFonts w:ascii="Arial" w:eastAsia="Arial" w:hAnsi="Arial" w:cs="Arial"/>
        </w:rPr>
        <w:t>C</w:t>
      </w:r>
      <w:bookmarkEnd w:id="8"/>
      <w:r>
        <w:rPr>
          <w:rFonts w:ascii="Arial" w:eastAsia="Arial" w:hAnsi="Arial" w:cs="Arial"/>
        </w:rPr>
        <w:t xml:space="preserve">.  </w:t>
      </w:r>
      <w:bookmarkStart w:id="11" w:name="_STATUTE_CONTENT__cb171e6e_921b_4a7d_9dc"/>
      <w:r>
        <w:rPr>
          <w:rFonts w:ascii="Arial" w:eastAsia="Arial" w:hAnsi="Arial" w:cs="Arial"/>
        </w:rPr>
        <w:t xml:space="preserve">A surcharge of $127 must be imposed by a court on the fee for commencement of each </w:t>
      </w:r>
      <w:r>
        <w:rPr>
          <w:rFonts w:ascii="Arial" w:eastAsia="Arial" w:hAnsi="Arial" w:cs="Arial"/>
          <w:u w:val="single"/>
        </w:rPr>
        <w:t>debt collection</w:t>
      </w:r>
      <w:r>
        <w:rPr>
          <w:rFonts w:ascii="Arial" w:eastAsia="Arial" w:hAnsi="Arial" w:cs="Arial"/>
        </w:rPr>
        <w:t xml:space="preserve"> action </w:t>
      </w:r>
      <w:r>
        <w:rPr>
          <w:rFonts w:ascii="Arial" w:eastAsia="Arial" w:hAnsi="Arial" w:cs="Arial"/>
          <w:strike/>
        </w:rPr>
        <w:t>for small claims</w:t>
      </w:r>
      <w:r>
        <w:rPr>
          <w:rFonts w:ascii="Arial" w:eastAsia="Arial" w:hAnsi="Arial" w:cs="Arial"/>
        </w:rPr>
        <w:t xml:space="preserve"> or money judgment </w:t>
      </w:r>
      <w:r>
        <w:rPr>
          <w:rFonts w:ascii="Arial" w:eastAsia="Arial" w:hAnsi="Arial" w:cs="Arial"/>
          <w:u w:val="single"/>
        </w:rPr>
        <w:t>disclosure action</w:t>
      </w:r>
      <w:r>
        <w:rPr>
          <w:rFonts w:ascii="Arial" w:eastAsia="Arial" w:hAnsi="Arial" w:cs="Arial"/>
        </w:rPr>
        <w:t xml:space="preserve"> when the action is brought by </w:t>
      </w:r>
      <w:r>
        <w:rPr>
          <w:rFonts w:ascii="Arial" w:eastAsia="Arial" w:hAnsi="Arial" w:cs="Arial"/>
          <w:strike/>
        </w:rPr>
        <w:t>a person who is</w:t>
      </w:r>
      <w:r>
        <w:rPr>
          <w:rFonts w:ascii="Arial" w:eastAsia="Arial" w:hAnsi="Arial" w:cs="Arial"/>
        </w:rPr>
        <w:t xml:space="preserve"> </w:t>
      </w:r>
      <w:bookmarkStart w:id="12" w:name="_ENGROSSING_REV__6e3e2339_4f3c_40a6_9093"/>
      <w:bookmarkStart w:id="13" w:name="_REV__aedc644b_d757_4875_9a22_ea1f014d23"/>
      <w:bookmarkStart w:id="14" w:name="_INSTRUCTION__c8db6738_3571_439a_b77d_22"/>
      <w:bookmarkStart w:id="15" w:name="_PROCESSED_CHANGE__67f88889_6d08_4221_88"/>
      <w:bookmarkEnd w:id="12"/>
      <w:r>
        <w:rPr>
          <w:rFonts w:ascii="Arial" w:eastAsia="Arial" w:hAnsi="Arial" w:cs="Arial"/>
          <w:u w:val="single"/>
        </w:rPr>
        <w:t>a debt buyer, as defined by Title 32, section 11002, subsection 5-A, or</w:t>
      </w:r>
      <w:bookmarkEnd w:id="13"/>
      <w:bookmarkEnd w:id="14"/>
      <w:bookmarkEnd w:id="15"/>
      <w:r>
        <w:rPr>
          <w:rFonts w:ascii="Arial" w:eastAsia="Arial" w:hAnsi="Arial" w:cs="Arial"/>
        </w:rPr>
        <w:t xml:space="preserve"> a debt collector </w:t>
      </w:r>
      <w:r>
        <w:rPr>
          <w:rFonts w:ascii="Arial" w:eastAsia="Arial" w:hAnsi="Arial" w:cs="Arial"/>
          <w:strike/>
        </w:rPr>
        <w:t>within the meaning of</w:t>
      </w:r>
      <w:r>
        <w:rPr>
          <w:rFonts w:ascii="Arial" w:eastAsia="Arial" w:hAnsi="Arial" w:cs="Arial"/>
          <w:u w:val="single"/>
        </w:rPr>
        <w:t>, as defined by</w:t>
      </w:r>
      <w:r>
        <w:rPr>
          <w:rFonts w:ascii="Arial" w:eastAsia="Arial" w:hAnsi="Arial" w:cs="Arial"/>
        </w:rPr>
        <w:t xml:space="preserve"> </w:t>
      </w:r>
      <w:bookmarkStart w:id="16" w:name="_CROSS_REFERENCE__08afebdc_fcd9_4894_bb7"/>
      <w:r>
        <w:rPr>
          <w:rFonts w:ascii="Arial" w:eastAsia="Arial" w:hAnsi="Arial" w:cs="Arial"/>
        </w:rPr>
        <w:t>Title 32, section 11002, subsection 6</w:t>
      </w:r>
      <w:bookmarkEnd w:id="16"/>
      <w:r>
        <w:rPr>
          <w:rFonts w:ascii="Arial" w:eastAsia="Arial" w:hAnsi="Arial" w:cs="Arial"/>
          <w:strike/>
        </w:rPr>
        <w:t>, and the</w:t>
      </w:r>
      <w:r>
        <w:rPr>
          <w:rFonts w:ascii="Arial" w:eastAsia="Arial" w:hAnsi="Arial" w:cs="Arial"/>
          <w:u w:val="single"/>
        </w:rPr>
        <w:t>.  The</w:t>
      </w:r>
      <w:r>
        <w:rPr>
          <w:rFonts w:ascii="Arial" w:eastAsia="Arial" w:hAnsi="Arial" w:cs="Arial"/>
        </w:rPr>
        <w:t xml:space="preserve"> surcharge must be deposited in the fund</w:t>
      </w:r>
      <w:r w:rsidRPr="00BB295E">
        <w:rPr>
          <w:rFonts w:ascii="Arial" w:eastAsia="Arial" w:hAnsi="Arial" w:cs="Arial"/>
        </w:rPr>
        <w:t xml:space="preserve"> </w:t>
      </w:r>
      <w:r>
        <w:rPr>
          <w:rFonts w:ascii="Arial" w:eastAsia="Arial" w:hAnsi="Arial" w:cs="Arial"/>
          <w:u w:val="single"/>
        </w:rPr>
        <w:t>and is not a recoverable cost under Title 14, section 1502-B</w:t>
      </w:r>
      <w:r>
        <w:rPr>
          <w:rFonts w:ascii="Arial" w:eastAsia="Arial" w:hAnsi="Arial" w:cs="Arial"/>
        </w:rPr>
        <w:t>.</w:t>
      </w:r>
      <w:bookmarkEnd w:id="11"/>
    </w:p>
    <w:p w:rsidR="00014383" w:rsidP="00014383">
      <w:pPr>
        <w:ind w:left="360" w:firstLine="360"/>
        <w:rPr>
          <w:rFonts w:ascii="Arial" w:eastAsia="Arial" w:hAnsi="Arial" w:cs="Arial"/>
        </w:rPr>
      </w:pPr>
      <w:bookmarkStart w:id="17" w:name="_BILL_SECTION_HEADER__a04157f7_3dbf_4341"/>
      <w:bookmarkStart w:id="18" w:name="_PAR__9_3c74501d_68d9_46a9_b942_77074f42"/>
      <w:bookmarkStart w:id="19" w:name="_BILL_SECTION__5488fe00_28e6_4110_b1c6_6"/>
      <w:bookmarkEnd w:id="5"/>
      <w:bookmarkEnd w:id="9"/>
      <w:bookmarkEnd w:id="10"/>
      <w:r>
        <w:rPr>
          <w:rFonts w:ascii="Arial" w:eastAsia="Arial" w:hAnsi="Arial" w:cs="Arial"/>
          <w:b/>
          <w:sz w:val="24"/>
        </w:rPr>
        <w:t xml:space="preserve">Sec. </w:t>
      </w:r>
      <w:bookmarkStart w:id="20" w:name="_BILL_SECTION_NUMBER__6130baf7_47e0_4696"/>
      <w:r>
        <w:rPr>
          <w:rFonts w:ascii="Arial" w:eastAsia="Arial" w:hAnsi="Arial" w:cs="Arial"/>
          <w:b/>
          <w:sz w:val="24"/>
        </w:rPr>
        <w:t>2</w:t>
      </w:r>
      <w:bookmarkEnd w:id="20"/>
      <w:r>
        <w:rPr>
          <w:rFonts w:ascii="Arial" w:eastAsia="Arial" w:hAnsi="Arial" w:cs="Arial"/>
          <w:b/>
          <w:sz w:val="24"/>
        </w:rPr>
        <w:t>.  4 MRSA §18-B, sub-§7,</w:t>
      </w:r>
      <w:r>
        <w:rPr>
          <w:rFonts w:ascii="Arial" w:eastAsia="Arial" w:hAnsi="Arial" w:cs="Arial"/>
        </w:rPr>
        <w:t xml:space="preserve"> as enacted by PL 1995, c. 560, Pt. I, §3, is amended to read:</w:t>
      </w:r>
    </w:p>
    <w:p w:rsidR="00014383" w:rsidP="00014383">
      <w:pPr>
        <w:ind w:left="360" w:firstLine="360"/>
        <w:rPr>
          <w:rFonts w:ascii="Arial" w:eastAsia="Arial" w:hAnsi="Arial" w:cs="Arial"/>
        </w:rPr>
      </w:pPr>
      <w:bookmarkStart w:id="21" w:name="_STATUTE_NUMBER__b3054215_c4eb_439e_9b5d"/>
      <w:bookmarkStart w:id="22" w:name="_PAR__10_d55dedcb_f97b_4b22_b4a3_285e654"/>
      <w:bookmarkStart w:id="23" w:name="_STATUTE_SS__115d4147_9788_48be_b540_4c3"/>
      <w:bookmarkEnd w:id="17"/>
      <w:bookmarkEnd w:id="18"/>
      <w:r>
        <w:rPr>
          <w:rFonts w:ascii="Arial" w:eastAsia="Arial" w:hAnsi="Arial" w:cs="Arial"/>
          <w:b/>
        </w:rPr>
        <w:t>7</w:t>
      </w:r>
      <w:bookmarkEnd w:id="21"/>
      <w:r>
        <w:rPr>
          <w:rFonts w:ascii="Arial" w:eastAsia="Arial" w:hAnsi="Arial" w:cs="Arial"/>
          <w:b/>
        </w:rPr>
        <w:t xml:space="preserve">.  </w:t>
      </w:r>
      <w:bookmarkStart w:id="24" w:name="_STATUTE_HEADNOTE__a51a9abf_6579_479b_af"/>
      <w:r>
        <w:rPr>
          <w:rFonts w:ascii="Arial" w:eastAsia="Arial" w:hAnsi="Arial" w:cs="Arial"/>
          <w:b/>
          <w:strike/>
        </w:rPr>
        <w:t>Fees</w:t>
      </w:r>
      <w:r>
        <w:rPr>
          <w:rFonts w:ascii="Arial" w:eastAsia="Arial" w:hAnsi="Arial" w:cs="Arial"/>
          <w:b/>
        </w:rPr>
        <w:t xml:space="preserve"> </w:t>
      </w:r>
      <w:r>
        <w:rPr>
          <w:rFonts w:ascii="Arial" w:eastAsia="Arial" w:hAnsi="Arial" w:cs="Arial"/>
          <w:b/>
          <w:u w:val="single"/>
        </w:rPr>
        <w:t>Authority and fees</w:t>
      </w:r>
      <w:r>
        <w:rPr>
          <w:rFonts w:ascii="Arial" w:eastAsia="Arial" w:hAnsi="Arial" w:cs="Arial"/>
          <w:b/>
        </w:rPr>
        <w:t>.</w:t>
      </w:r>
      <w:bookmarkEnd w:id="24"/>
      <w:r>
        <w:rPr>
          <w:rFonts w:ascii="Arial" w:eastAsia="Arial" w:hAnsi="Arial" w:cs="Arial"/>
          <w:b/>
        </w:rPr>
        <w:t xml:space="preserve"> </w:t>
      </w:r>
      <w:r>
        <w:rPr>
          <w:rFonts w:ascii="Arial" w:eastAsia="Arial" w:hAnsi="Arial" w:cs="Arial"/>
        </w:rPr>
        <w:t xml:space="preserve"> </w:t>
      </w:r>
      <w:bookmarkStart w:id="25" w:name="_STATUTE_CONTENT__1f6559e9_eee5_4560_a72"/>
      <w:r>
        <w:rPr>
          <w:rFonts w:ascii="Arial" w:eastAsia="Arial" w:hAnsi="Arial" w:cs="Arial"/>
          <w:strike/>
        </w:rPr>
        <w:t>When</w:t>
      </w:r>
      <w:r>
        <w:rPr>
          <w:rFonts w:ascii="Arial" w:eastAsia="Arial" w:hAnsi="Arial" w:cs="Arial"/>
        </w:rPr>
        <w:t xml:space="preserve"> </w:t>
      </w:r>
      <w:r>
        <w:rPr>
          <w:rFonts w:ascii="Arial" w:eastAsia="Arial" w:hAnsi="Arial" w:cs="Arial"/>
          <w:u w:val="single"/>
        </w:rPr>
        <w:t xml:space="preserve">The Judicial </w:t>
      </w:r>
      <w:r>
        <w:rPr>
          <w:rFonts w:ascii="Arial" w:eastAsia="Arial" w:hAnsi="Arial" w:cs="Arial"/>
          <w:u w:val="single"/>
        </w:rPr>
        <w:t>Department</w:t>
      </w:r>
      <w:r>
        <w:rPr>
          <w:rFonts w:ascii="Arial" w:eastAsia="Arial" w:hAnsi="Arial" w:cs="Arial"/>
          <w:u w:val="single"/>
        </w:rPr>
        <w:t xml:space="preserve"> is authorized to refer cases to the Court Alternative Dispute Resolution Service for mediation and, when</w:t>
      </w:r>
      <w:r w:rsidRPr="00BB295E">
        <w:rPr>
          <w:rFonts w:ascii="Arial" w:eastAsia="Arial" w:hAnsi="Arial" w:cs="Arial"/>
        </w:rPr>
        <w:t xml:space="preserve"> </w:t>
      </w:r>
      <w:r>
        <w:rPr>
          <w:rFonts w:ascii="Arial" w:eastAsia="Arial" w:hAnsi="Arial" w:cs="Arial"/>
        </w:rPr>
        <w:t xml:space="preserve">a court refers parties to the Court Alternative Dispute Resolution Service </w:t>
      </w:r>
      <w:r>
        <w:rPr>
          <w:rFonts w:ascii="Arial" w:eastAsia="Arial" w:hAnsi="Arial" w:cs="Arial"/>
          <w:u w:val="single"/>
        </w:rPr>
        <w:t>for mediation</w:t>
      </w:r>
      <w:r>
        <w:rPr>
          <w:rFonts w:ascii="Arial" w:eastAsia="Arial" w:hAnsi="Arial" w:cs="Arial"/>
        </w:rPr>
        <w:t>, the court shall assess the parties a fee to be apportioned equally among the parties, unless the court otherwise directs.  The fee must be deposited in the dedicated account created in subsection 8.</w:t>
      </w:r>
      <w:bookmarkEnd w:id="25"/>
    </w:p>
    <w:p w:rsidR="00000000" w:rsidP="00014383">
      <w:pPr>
        <w:ind w:left="360"/>
        <w:rPr>
          <w:rFonts w:ascii="Arial" w:eastAsia="Arial" w:hAnsi="Arial" w:cs="Arial"/>
        </w:rPr>
      </w:pPr>
      <w:bookmarkStart w:id="26" w:name="_STATUTE_CONTENT__81f61316_8318_41a5_acb"/>
      <w:bookmarkStart w:id="27" w:name="_STATUTE_P__21c03bfc_1663_46cc_92ef_837d"/>
      <w:bookmarkStart w:id="28" w:name="_PAR__11_4286d1f2_77bf_44b0_a165_c2ee46f"/>
      <w:bookmarkEnd w:id="22"/>
      <w:r>
        <w:rPr>
          <w:rFonts w:ascii="Arial" w:eastAsia="Arial" w:hAnsi="Arial" w:cs="Arial"/>
        </w:rPr>
        <w:t>A party may file an in forma pauperis application for waiver of fee.  If the court finds that the party does not have sufficient funds to pay the fee, it shall order the fee waived.</w:t>
      </w:r>
      <w:bookmarkEnd w:id="26"/>
      <w:bookmarkEnd w:id="2"/>
      <w:bookmarkEnd w:id="6"/>
      <w:bookmarkEnd w:id="19"/>
      <w:bookmarkEnd w:id="23"/>
      <w:bookmarkEnd w:id="27"/>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LR0394,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Funding for Civil Legal Services</w:t>
    </w:r>
  </w:p>
  <w:p>
    <w:pPr>
      <w:suppressLineNumbers/>
      <w:spacing w:before="0" w:after="0"/>
      <w:jc w:val="center"/>
      <w:rPr>
        <w:rFonts w:ascii="Arial" w:eastAsia="Arial" w:hAnsi="Arial" w:cs="Arial"/>
      </w:rPr>
    </w:pPr>
    <w:r>
      <w:rPr>
        <w:rFonts w:ascii="Arial" w:eastAsia="Arial" w:hAnsi="Arial" w:cs="Arial"/>
        <w:sz w:val="22"/>
      </w:rPr>
      <w:t>L.D. 483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438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B295E"/>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