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a Dentist To Administer Botulinum Toxin and Dermal Fillers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34 - L.D. 26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Allow a Dentist To Administer Botulinum Toxin and Dermal Fillers</w:t>
      </w:r>
    </w:p>
    <w:p w:rsidR="00290963" w:rsidP="00290963">
      <w:pPr>
        <w:ind w:left="360" w:firstLine="360"/>
        <w:rPr>
          <w:rFonts w:ascii="Arial" w:eastAsia="Arial" w:hAnsi="Arial" w:cs="Arial"/>
        </w:rPr>
      </w:pPr>
      <w:bookmarkStart w:id="0" w:name="_PAR__1_4c0dd198_deae_491d_92b7_8e14d369"/>
      <w:bookmarkStart w:id="1" w:name="_EMERGENCY_PREAMBLE__a33a860c_cff7_43ec_"/>
      <w:bookmarkStart w:id="2" w:name="_DOC_BODY_CONTAINER__c3f35748_c069_4e5a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290963" w:rsidP="00290963">
      <w:pPr>
        <w:ind w:left="360" w:firstLine="360"/>
        <w:rPr>
          <w:rFonts w:ascii="Arial" w:eastAsia="Arial" w:hAnsi="Arial" w:cs="Arial"/>
        </w:rPr>
      </w:pPr>
      <w:bookmarkStart w:id="3" w:name="_PAR__2_88019ac9_2fcd_45ac_8b62_6e2fb4c4"/>
      <w:bookmarkEnd w:id="0"/>
      <w:r>
        <w:rPr>
          <w:rFonts w:ascii="Arial" w:eastAsia="Arial" w:hAnsi="Arial" w:cs="Arial"/>
          <w:b/>
          <w:sz w:val="24"/>
        </w:rPr>
        <w:t>Whereas,</w:t>
      </w:r>
      <w:r>
        <w:rPr>
          <w:rFonts w:ascii="Arial" w:eastAsia="Arial" w:hAnsi="Arial" w:cs="Arial"/>
        </w:rPr>
        <w:t xml:space="preserve"> </w:t>
      </w:r>
      <w:r w:rsidRPr="00E13660">
        <w:rPr>
          <w:rFonts w:ascii="Arial" w:eastAsia="Arial" w:hAnsi="Arial" w:cs="Arial"/>
        </w:rPr>
        <w:t>the sole purpose of the Board of Dental Practice is to protect the public health and welfare by ensuring that the public is served by competent and honest practitioners and by establishing minimum standards of proficiency; and</w:t>
      </w:r>
    </w:p>
    <w:p w:rsidR="00290963" w:rsidP="00290963">
      <w:pPr>
        <w:ind w:left="360" w:firstLine="360"/>
        <w:rPr>
          <w:rFonts w:ascii="Arial" w:eastAsia="Arial" w:hAnsi="Arial" w:cs="Arial"/>
        </w:rPr>
      </w:pPr>
      <w:bookmarkStart w:id="4" w:name="_PAR__3_0b6d3455_b112_48b7_ba15_f6d6561e"/>
      <w:bookmarkEnd w:id="3"/>
      <w:r>
        <w:rPr>
          <w:rFonts w:ascii="Arial" w:eastAsia="Arial" w:hAnsi="Arial" w:cs="Arial"/>
          <w:b/>
          <w:sz w:val="24"/>
        </w:rPr>
        <w:t>Whereas,</w:t>
      </w:r>
      <w:r>
        <w:rPr>
          <w:rFonts w:ascii="Arial" w:eastAsia="Arial" w:hAnsi="Arial" w:cs="Arial"/>
        </w:rPr>
        <w:t xml:space="preserve"> </w:t>
      </w:r>
      <w:r w:rsidRPr="00E13660">
        <w:rPr>
          <w:rFonts w:ascii="Arial" w:eastAsia="Arial" w:hAnsi="Arial" w:cs="Arial"/>
        </w:rPr>
        <w:t xml:space="preserve">former </w:t>
      </w:r>
      <w:r>
        <w:rPr>
          <w:rFonts w:ascii="Arial" w:eastAsia="Arial" w:hAnsi="Arial" w:cs="Arial"/>
        </w:rPr>
        <w:t>b</w:t>
      </w:r>
      <w:r w:rsidRPr="00E13660">
        <w:rPr>
          <w:rFonts w:ascii="Arial" w:eastAsia="Arial" w:hAnsi="Arial" w:cs="Arial"/>
        </w:rPr>
        <w:t xml:space="preserve">oard </w:t>
      </w:r>
      <w:r>
        <w:rPr>
          <w:rFonts w:ascii="Arial" w:eastAsia="Arial" w:hAnsi="Arial" w:cs="Arial"/>
        </w:rPr>
        <w:t>r</w:t>
      </w:r>
      <w:r w:rsidRPr="00E13660">
        <w:rPr>
          <w:rFonts w:ascii="Arial" w:eastAsia="Arial" w:hAnsi="Arial" w:cs="Arial"/>
        </w:rPr>
        <w:t>ule Chapter 9</w:t>
      </w:r>
      <w:r>
        <w:rPr>
          <w:rFonts w:ascii="Arial" w:eastAsia="Arial" w:hAnsi="Arial" w:cs="Arial"/>
        </w:rPr>
        <w:t xml:space="preserve">: Complaints/Investigations/Unprofessional Conduct, Section II, paragraph </w:t>
      </w:r>
      <w:r w:rsidRPr="00E13660">
        <w:rPr>
          <w:rFonts w:ascii="Arial" w:eastAsia="Arial" w:hAnsi="Arial" w:cs="Arial"/>
        </w:rPr>
        <w:t>U</w:t>
      </w:r>
      <w:r>
        <w:rPr>
          <w:rFonts w:ascii="Arial" w:eastAsia="Arial" w:hAnsi="Arial" w:cs="Arial"/>
        </w:rPr>
        <w:t>,</w:t>
      </w:r>
      <w:r w:rsidRPr="00E13660">
        <w:rPr>
          <w:rFonts w:ascii="Arial" w:eastAsia="Arial" w:hAnsi="Arial" w:cs="Arial"/>
        </w:rPr>
        <w:t xml:space="preserve"> which was repealed effective April 5, 2020</w:t>
      </w:r>
      <w:r>
        <w:rPr>
          <w:rFonts w:ascii="Arial" w:eastAsia="Arial" w:hAnsi="Arial" w:cs="Arial"/>
        </w:rPr>
        <w:t>,</w:t>
      </w:r>
      <w:r w:rsidRPr="00E13660">
        <w:rPr>
          <w:rFonts w:ascii="Arial" w:eastAsia="Arial" w:hAnsi="Arial" w:cs="Arial"/>
        </w:rPr>
        <w:t xml:space="preserve"> contained language restricting a dentist's scope of practice to administer botulinum toxins and dermal fillers to dental procedures; and</w:t>
      </w:r>
    </w:p>
    <w:p w:rsidR="00290963" w:rsidRPr="00E13660" w:rsidP="00290963">
      <w:pPr>
        <w:ind w:left="360" w:firstLine="360"/>
        <w:rPr>
          <w:rFonts w:ascii="Arial" w:eastAsia="Arial" w:hAnsi="Arial" w:cs="Arial"/>
        </w:rPr>
      </w:pPr>
      <w:bookmarkStart w:id="5" w:name="_WHEREAS_CLAUSE__1d33a61b_b09e_46ba_a7bb"/>
      <w:bookmarkStart w:id="6" w:name="_PAR__4_d5886098_2e9c_422a_8d25_76ec3c40"/>
      <w:bookmarkEnd w:id="4"/>
      <w:r w:rsidRPr="00E13660">
        <w:rPr>
          <w:rFonts w:ascii="Arial" w:eastAsia="Arial" w:hAnsi="Arial" w:cs="Arial"/>
          <w:b/>
          <w:sz w:val="24"/>
          <w:szCs w:val="24"/>
        </w:rPr>
        <w:t>Whereas,</w:t>
      </w:r>
      <w:r>
        <w:rPr>
          <w:rFonts w:ascii="Arial" w:eastAsia="Arial" w:hAnsi="Arial" w:cs="Arial"/>
        </w:rPr>
        <w:t xml:space="preserve"> </w:t>
      </w:r>
      <w:r w:rsidRPr="00E13660">
        <w:rPr>
          <w:rFonts w:ascii="Arial" w:eastAsia="Arial" w:hAnsi="Arial" w:cs="Arial"/>
        </w:rPr>
        <w:t xml:space="preserve">substantive policy decisions such as expanding or restricting scopes of practice are appropriate for the legislative process, not </w:t>
      </w:r>
      <w:r>
        <w:rPr>
          <w:rFonts w:ascii="Arial" w:eastAsia="Arial" w:hAnsi="Arial" w:cs="Arial"/>
        </w:rPr>
        <w:t xml:space="preserve">an </w:t>
      </w:r>
      <w:r w:rsidRPr="00E13660">
        <w:rPr>
          <w:rFonts w:ascii="Arial" w:eastAsia="Arial" w:hAnsi="Arial" w:cs="Arial"/>
        </w:rPr>
        <w:t>administrative rule</w:t>
      </w:r>
      <w:r>
        <w:rPr>
          <w:rFonts w:ascii="Arial" w:eastAsia="Arial" w:hAnsi="Arial" w:cs="Arial"/>
        </w:rPr>
        <w:t>-</w:t>
      </w:r>
      <w:r w:rsidRPr="00E13660">
        <w:rPr>
          <w:rFonts w:ascii="Arial" w:eastAsia="Arial" w:hAnsi="Arial" w:cs="Arial"/>
        </w:rPr>
        <w:t>making process; and</w:t>
      </w:r>
    </w:p>
    <w:p w:rsidR="00290963" w:rsidRPr="00E13660" w:rsidP="00290963">
      <w:pPr>
        <w:ind w:left="360" w:firstLine="360"/>
        <w:rPr>
          <w:rFonts w:ascii="Arial" w:eastAsia="Arial" w:hAnsi="Arial" w:cs="Arial"/>
        </w:rPr>
      </w:pPr>
      <w:bookmarkStart w:id="7" w:name="_WHEREAS_CLAUSE__f2e086f7_6b5b_4e67_a1b7"/>
      <w:bookmarkStart w:id="8" w:name="_PAR__5_6451cc25_2733_460c_bab4_a4ec9ce9"/>
      <w:bookmarkEnd w:id="5"/>
      <w:bookmarkEnd w:id="6"/>
      <w:r w:rsidRPr="00E13660">
        <w:rPr>
          <w:rFonts w:ascii="Arial" w:eastAsia="Arial" w:hAnsi="Arial" w:cs="Arial"/>
          <w:b/>
          <w:sz w:val="24"/>
          <w:szCs w:val="24"/>
        </w:rPr>
        <w:t>Whereas,</w:t>
      </w:r>
      <w:r>
        <w:rPr>
          <w:rFonts w:ascii="Arial" w:eastAsia="Arial" w:hAnsi="Arial" w:cs="Arial"/>
        </w:rPr>
        <w:t xml:space="preserve"> </w:t>
      </w:r>
      <w:r w:rsidRPr="00E13660">
        <w:rPr>
          <w:rFonts w:ascii="Arial" w:eastAsia="Arial" w:hAnsi="Arial" w:cs="Arial"/>
        </w:rPr>
        <w:t>immediate enactment of this legislation is necessary to continue protecting the public by ensuring that authorization for a dentist to administer botulinum toxin and dermal fillers to a patient as part of a dental treatment plan is continued as part of a dentist's scope of practice; and</w:t>
      </w:r>
    </w:p>
    <w:p w:rsidR="00290963" w:rsidP="00290963">
      <w:pPr>
        <w:ind w:left="360" w:firstLine="360"/>
        <w:rPr>
          <w:rFonts w:ascii="Arial" w:eastAsia="Arial" w:hAnsi="Arial" w:cs="Arial"/>
        </w:rPr>
      </w:pPr>
      <w:bookmarkStart w:id="9" w:name="_PAR__6_c9565ba5_de82_42ef_a7a6_fc1b0953"/>
      <w:bookmarkEnd w:id="7"/>
      <w:bookmarkEnd w:id="8"/>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290963" w:rsidP="00290963">
      <w:pPr>
        <w:ind w:left="360"/>
        <w:rPr>
          <w:rFonts w:ascii="Arial" w:eastAsia="Arial" w:hAnsi="Arial" w:cs="Arial"/>
        </w:rPr>
      </w:pPr>
      <w:bookmarkStart w:id="10" w:name="_ENACTING_CLAUSE__70b4e4f2_8d56_4add_ba3"/>
      <w:bookmarkStart w:id="11" w:name="_PAR__7_d0289b2c_c1e6_438f_a290_e758613c"/>
      <w:bookmarkEnd w:id="1"/>
      <w:bookmarkEnd w:id="9"/>
      <w:r>
        <w:rPr>
          <w:rFonts w:ascii="Arial" w:eastAsia="Arial" w:hAnsi="Arial" w:cs="Arial"/>
          <w:b/>
        </w:rPr>
        <w:t>Be it enacted by the People of the State of Maine as follows:</w:t>
      </w:r>
    </w:p>
    <w:p w:rsidR="00290963" w:rsidP="00290963">
      <w:pPr>
        <w:ind w:left="360" w:firstLine="360"/>
        <w:rPr>
          <w:rFonts w:ascii="Arial" w:eastAsia="Arial" w:hAnsi="Arial" w:cs="Arial"/>
        </w:rPr>
      </w:pPr>
      <w:bookmarkStart w:id="12" w:name="_BILL_SECTION_HEADER__2e7f736a_1510_4b15"/>
      <w:bookmarkStart w:id="13" w:name="_PAR__8_8ea559cc_c9e8_4d4a_aee7_13fbedee"/>
      <w:bookmarkStart w:id="14" w:name="_BILL_SECTION__cdc23b13_1e78_4536_be5b_a"/>
      <w:bookmarkStart w:id="15" w:name="_DOC_BODY_CONTENT__5395b8ef_1970_4451_ab"/>
      <w:bookmarkEnd w:id="10"/>
      <w:bookmarkEnd w:id="11"/>
      <w:r>
        <w:rPr>
          <w:rFonts w:ascii="Arial" w:eastAsia="Arial" w:hAnsi="Arial" w:cs="Arial"/>
          <w:b/>
          <w:sz w:val="24"/>
        </w:rPr>
        <w:t xml:space="preserve">Sec. </w:t>
      </w:r>
      <w:bookmarkStart w:id="16" w:name="_BILL_SECTION_NUMBER__ca42f0b4_01ec_427a"/>
      <w:r>
        <w:rPr>
          <w:rFonts w:ascii="Arial" w:eastAsia="Arial" w:hAnsi="Arial" w:cs="Arial"/>
          <w:b/>
          <w:sz w:val="24"/>
        </w:rPr>
        <w:t>1</w:t>
      </w:r>
      <w:bookmarkEnd w:id="16"/>
      <w:r>
        <w:rPr>
          <w:rFonts w:ascii="Arial" w:eastAsia="Arial" w:hAnsi="Arial" w:cs="Arial"/>
          <w:b/>
          <w:sz w:val="24"/>
        </w:rPr>
        <w:t>.  32 MRSA §18325, sub-§1, ¶O,</w:t>
      </w:r>
      <w:r>
        <w:rPr>
          <w:rFonts w:ascii="Arial" w:eastAsia="Arial" w:hAnsi="Arial" w:cs="Arial"/>
        </w:rPr>
        <w:t xml:space="preserve"> as amended by PL 2015, c. 488, §33, is further amended to read:</w:t>
      </w:r>
    </w:p>
    <w:p w:rsidR="00290963" w:rsidP="00290963">
      <w:pPr>
        <w:ind w:left="720"/>
        <w:rPr>
          <w:rFonts w:ascii="Arial" w:eastAsia="Arial" w:hAnsi="Arial" w:cs="Arial"/>
        </w:rPr>
      </w:pPr>
      <w:bookmarkStart w:id="17" w:name="_STATUTE_NUMBER__9185e62a_b90d_4f54_adae"/>
      <w:bookmarkStart w:id="18" w:name="_STATUTE_P__14fa6c10_7c87_48e0_a958_81a4"/>
      <w:bookmarkStart w:id="19" w:name="_PAR__9_679193d3_f273_417a_90e7_db9a7d4f"/>
      <w:bookmarkEnd w:id="12"/>
      <w:bookmarkEnd w:id="13"/>
      <w:r>
        <w:rPr>
          <w:rFonts w:ascii="Arial" w:eastAsia="Arial" w:hAnsi="Arial" w:cs="Arial"/>
        </w:rPr>
        <w:t>O</w:t>
      </w:r>
      <w:bookmarkEnd w:id="17"/>
      <w:r>
        <w:rPr>
          <w:rFonts w:ascii="Arial" w:eastAsia="Arial" w:hAnsi="Arial" w:cs="Arial"/>
        </w:rPr>
        <w:t xml:space="preserve">.  </w:t>
      </w:r>
      <w:bookmarkStart w:id="20" w:name="_STATUTE_CONTENT__5678f344_3c38_443c_b85"/>
      <w:r>
        <w:rPr>
          <w:rFonts w:ascii="Arial" w:eastAsia="Arial" w:hAnsi="Arial" w:cs="Arial"/>
        </w:rPr>
        <w:t xml:space="preserve">A violation of this chapter or a rule adopted by the board; </w:t>
      </w:r>
      <w:r>
        <w:rPr>
          <w:rFonts w:ascii="Arial" w:eastAsia="Arial" w:hAnsi="Arial" w:cs="Arial"/>
          <w:strike/>
        </w:rPr>
        <w:t>and</w:t>
      </w:r>
      <w:bookmarkEnd w:id="20"/>
    </w:p>
    <w:p w:rsidR="00290963" w:rsidP="00290963">
      <w:pPr>
        <w:ind w:left="360" w:firstLine="360"/>
        <w:rPr>
          <w:rFonts w:ascii="Arial" w:eastAsia="Arial" w:hAnsi="Arial" w:cs="Arial"/>
        </w:rPr>
      </w:pPr>
      <w:bookmarkStart w:id="21" w:name="_BILL_SECTION_HEADER__5ffa7993_ad11_4ed8"/>
      <w:bookmarkStart w:id="22" w:name="_PAR__10_f435a491_61da_4804_86ba_8d4cc18"/>
      <w:bookmarkStart w:id="23" w:name="_BILL_SECTION__e03a73f1_c48f_4605_95f1_7"/>
      <w:bookmarkEnd w:id="14"/>
      <w:bookmarkEnd w:id="18"/>
      <w:bookmarkEnd w:id="19"/>
      <w:r>
        <w:rPr>
          <w:rFonts w:ascii="Arial" w:eastAsia="Arial" w:hAnsi="Arial" w:cs="Arial"/>
          <w:b/>
          <w:sz w:val="24"/>
        </w:rPr>
        <w:t xml:space="preserve">Sec. </w:t>
      </w:r>
      <w:bookmarkStart w:id="24" w:name="_BILL_SECTION_NUMBER__b5715cea_9a97_4000"/>
      <w:r>
        <w:rPr>
          <w:rFonts w:ascii="Arial" w:eastAsia="Arial" w:hAnsi="Arial" w:cs="Arial"/>
          <w:b/>
          <w:sz w:val="24"/>
        </w:rPr>
        <w:t>2</w:t>
      </w:r>
      <w:bookmarkEnd w:id="24"/>
      <w:r>
        <w:rPr>
          <w:rFonts w:ascii="Arial" w:eastAsia="Arial" w:hAnsi="Arial" w:cs="Arial"/>
          <w:b/>
          <w:sz w:val="24"/>
        </w:rPr>
        <w:t>.  32 MRSA §18325, sub-§1, ¶P,</w:t>
      </w:r>
      <w:r>
        <w:rPr>
          <w:rFonts w:ascii="Arial" w:eastAsia="Arial" w:hAnsi="Arial" w:cs="Arial"/>
        </w:rPr>
        <w:t xml:space="preserve"> as enacted by PL 2015, c. 488, §34, is amended to read:</w:t>
      </w:r>
    </w:p>
    <w:p w:rsidR="00290963" w:rsidP="00290963">
      <w:pPr>
        <w:ind w:left="720"/>
        <w:rPr>
          <w:rFonts w:ascii="Arial" w:eastAsia="Arial" w:hAnsi="Arial" w:cs="Arial"/>
        </w:rPr>
      </w:pPr>
      <w:bookmarkStart w:id="25" w:name="_STATUTE_NUMBER__4b88cc93_e709_463a_aa83"/>
      <w:bookmarkStart w:id="26" w:name="_STATUTE_P__97fe2d4e_bf31_4ebd_bc17_449d"/>
      <w:bookmarkStart w:id="27" w:name="_PAR__11_1f733ea7_7cf2_4ec4_af86_2f19282"/>
      <w:bookmarkEnd w:id="21"/>
      <w:bookmarkEnd w:id="22"/>
      <w:r>
        <w:rPr>
          <w:rFonts w:ascii="Arial" w:eastAsia="Arial" w:hAnsi="Arial" w:cs="Arial"/>
        </w:rPr>
        <w:t>P</w:t>
      </w:r>
      <w:bookmarkEnd w:id="25"/>
      <w:r>
        <w:rPr>
          <w:rFonts w:ascii="Arial" w:eastAsia="Arial" w:hAnsi="Arial" w:cs="Arial"/>
        </w:rPr>
        <w:t xml:space="preserve">.  </w:t>
      </w:r>
      <w:bookmarkStart w:id="28" w:name="_STATUTE_CONTENT__a57066f9_69a1_498a_9e4"/>
      <w:r>
        <w:rPr>
          <w:rFonts w:ascii="Arial" w:eastAsia="Arial" w:hAnsi="Arial" w:cs="Arial"/>
        </w:rPr>
        <w:t xml:space="preserve">Failure to comply with the requirements of </w:t>
      </w:r>
      <w:bookmarkStart w:id="29" w:name="_CROSS_REFERENCE__eb7b5113_2381_46c5_aee"/>
      <w:r>
        <w:rPr>
          <w:rFonts w:ascii="Arial" w:eastAsia="Arial" w:hAnsi="Arial" w:cs="Arial"/>
        </w:rPr>
        <w:t>Title 22, section 7253</w:t>
      </w:r>
      <w:bookmarkEnd w:id="29"/>
      <w:r>
        <w:rPr>
          <w:rFonts w:ascii="Arial" w:eastAsia="Arial" w:hAnsi="Arial" w:cs="Arial"/>
          <w:strike/>
        </w:rPr>
        <w:t>.</w:t>
      </w:r>
      <w:r>
        <w:rPr>
          <w:rFonts w:ascii="Arial" w:eastAsia="Arial" w:hAnsi="Arial" w:cs="Arial"/>
          <w:u w:val="single"/>
        </w:rPr>
        <w:t>; and</w:t>
      </w:r>
      <w:bookmarkEnd w:id="28"/>
    </w:p>
    <w:p w:rsidR="00290963" w:rsidP="00290963">
      <w:pPr>
        <w:ind w:left="360" w:firstLine="360"/>
        <w:rPr>
          <w:rFonts w:ascii="Arial" w:eastAsia="Arial" w:hAnsi="Arial" w:cs="Arial"/>
        </w:rPr>
      </w:pPr>
      <w:bookmarkStart w:id="30" w:name="_BILL_SECTION_HEADER__9c18c70d_bcc2_4fc6"/>
      <w:bookmarkStart w:id="31" w:name="_PAR__12_c65f1392_9eb0_4511_bfd0_a6163fe"/>
      <w:bookmarkStart w:id="32" w:name="_BILL_SECTION__ca13d9c8_1b1a_42f2_96d3_4"/>
      <w:bookmarkEnd w:id="23"/>
      <w:bookmarkEnd w:id="26"/>
      <w:bookmarkEnd w:id="27"/>
      <w:r>
        <w:rPr>
          <w:rFonts w:ascii="Arial" w:eastAsia="Arial" w:hAnsi="Arial" w:cs="Arial"/>
          <w:b/>
          <w:sz w:val="24"/>
        </w:rPr>
        <w:t xml:space="preserve">Sec. </w:t>
      </w:r>
      <w:bookmarkStart w:id="33" w:name="_BILL_SECTION_NUMBER__12c103b3_810f_4570"/>
      <w:r>
        <w:rPr>
          <w:rFonts w:ascii="Arial" w:eastAsia="Arial" w:hAnsi="Arial" w:cs="Arial"/>
          <w:b/>
          <w:sz w:val="24"/>
        </w:rPr>
        <w:t>3</w:t>
      </w:r>
      <w:bookmarkEnd w:id="33"/>
      <w:r>
        <w:rPr>
          <w:rFonts w:ascii="Arial" w:eastAsia="Arial" w:hAnsi="Arial" w:cs="Arial"/>
          <w:b/>
          <w:sz w:val="24"/>
        </w:rPr>
        <w:t>.  32 MRSA §18325, sub-§1, ¶Q</w:t>
      </w:r>
      <w:r>
        <w:rPr>
          <w:rFonts w:ascii="Arial" w:eastAsia="Arial" w:hAnsi="Arial" w:cs="Arial"/>
        </w:rPr>
        <w:t xml:space="preserve"> is enacted to read:</w:t>
      </w:r>
    </w:p>
    <w:p w:rsidR="00290963" w:rsidP="00290963">
      <w:pPr>
        <w:ind w:left="720"/>
        <w:rPr>
          <w:rFonts w:ascii="Arial" w:eastAsia="Arial" w:hAnsi="Arial" w:cs="Arial"/>
        </w:rPr>
      </w:pPr>
      <w:bookmarkStart w:id="34" w:name="_STATUTE_NUMBER__57bbba5c_2f84_4604_9afc"/>
      <w:bookmarkStart w:id="35" w:name="_STATUTE_P__8898444e_b82b_4d4d_80c0_5b75"/>
      <w:bookmarkStart w:id="36" w:name="_PAR__13_7b13daf2_d27e_42b8_83b0_ed6f1db"/>
      <w:bookmarkEnd w:id="30"/>
      <w:bookmarkEnd w:id="31"/>
      <w:r>
        <w:rPr>
          <w:rFonts w:ascii="Arial" w:eastAsia="Arial" w:hAnsi="Arial" w:cs="Arial"/>
          <w:u w:val="single"/>
        </w:rPr>
        <w:t>Q</w:t>
      </w:r>
      <w:bookmarkEnd w:id="34"/>
      <w:r>
        <w:rPr>
          <w:rFonts w:ascii="Arial" w:eastAsia="Arial" w:hAnsi="Arial" w:cs="Arial"/>
          <w:u w:val="single"/>
        </w:rPr>
        <w:t xml:space="preserve">.  </w:t>
      </w:r>
      <w:bookmarkStart w:id="37" w:name="_STATUTE_CONTENT__a8614420_d57c_499c_820"/>
      <w:r w:rsidRPr="006912E1">
        <w:rPr>
          <w:rFonts w:ascii="Arial" w:eastAsia="Arial" w:hAnsi="Arial" w:cs="Arial"/>
          <w:szCs w:val="22"/>
          <w:u w:val="single"/>
        </w:rPr>
        <w:t xml:space="preserve">Administering botulinum toxins </w:t>
      </w:r>
      <w:r>
        <w:rPr>
          <w:rFonts w:ascii="Arial" w:eastAsia="Arial" w:hAnsi="Arial" w:cs="Arial"/>
          <w:szCs w:val="22"/>
          <w:u w:val="single"/>
        </w:rPr>
        <w:t>or</w:t>
      </w:r>
      <w:r w:rsidRPr="006912E1">
        <w:rPr>
          <w:rFonts w:ascii="Arial" w:eastAsia="Arial" w:hAnsi="Arial" w:cs="Arial"/>
          <w:szCs w:val="22"/>
          <w:u w:val="single"/>
        </w:rPr>
        <w:t xml:space="preserve"> dermal fillers to a patient </w:t>
      </w:r>
      <w:r w:rsidRPr="006912E1">
        <w:rPr>
          <w:rFonts w:ascii="Arial" w:eastAsia="Arial" w:hAnsi="Arial" w:cs="Arial"/>
          <w:szCs w:val="22"/>
          <w:u w:val="single"/>
        </w:rPr>
        <w:t>when that administration</w:t>
      </w:r>
      <w:r w:rsidRPr="006912E1">
        <w:rPr>
          <w:rFonts w:ascii="Arial" w:eastAsia="Arial" w:hAnsi="Arial" w:cs="Arial"/>
          <w:szCs w:val="22"/>
          <w:u w:val="single"/>
        </w:rPr>
        <w:t xml:space="preserve"> is not supported by a diagnosed dental condition or </w:t>
      </w:r>
      <w:r w:rsidRPr="006912E1">
        <w:rPr>
          <w:rFonts w:ascii="Arial" w:eastAsia="Arial" w:hAnsi="Arial" w:cs="Arial"/>
          <w:szCs w:val="22"/>
          <w:u w:val="single"/>
        </w:rPr>
        <w:t xml:space="preserve">is </w:t>
      </w:r>
      <w:r w:rsidRPr="006912E1">
        <w:rPr>
          <w:rFonts w:ascii="Arial" w:eastAsia="Arial" w:hAnsi="Arial" w:cs="Arial"/>
          <w:szCs w:val="22"/>
          <w:u w:val="single"/>
        </w:rPr>
        <w:t>not part of a patient's dental treatment plan.</w:t>
      </w:r>
      <w:r>
        <w:rPr>
          <w:rFonts w:ascii="Arial" w:eastAsia="Arial" w:hAnsi="Arial" w:cs="Arial"/>
          <w:szCs w:val="22"/>
          <w:u w:val="single"/>
        </w:rPr>
        <w:t xml:space="preserve">  </w:t>
      </w:r>
      <w:r w:rsidRPr="00A730DC">
        <w:rPr>
          <w:rFonts w:ascii="Arial" w:eastAsia="Arial" w:hAnsi="Arial" w:cs="Arial"/>
          <w:szCs w:val="22"/>
          <w:u w:val="single"/>
        </w:rPr>
        <w:t>This paragraph does not apply to a dentist who has successfully completed postgraduate training and certification in oral and maxillofacial surgery from a program accredited by the American Dental Association Commission on Dental Accreditation or its successor organization.</w:t>
      </w:r>
    </w:p>
    <w:p w:rsidR="00290963" w:rsidP="00290963">
      <w:pPr>
        <w:ind w:left="360" w:firstLine="360"/>
        <w:rPr>
          <w:rFonts w:ascii="Arial" w:eastAsia="Arial" w:hAnsi="Arial" w:cs="Arial"/>
        </w:rPr>
      </w:pPr>
      <w:bookmarkStart w:id="38" w:name="_BILL_SECTION_HEADER__82adde8b_271e_4e0a"/>
      <w:bookmarkStart w:id="39" w:name="_PAR__14_2acdb668_325a_45e9_a63f_87924b5"/>
      <w:bookmarkStart w:id="40" w:name="_BILL_SECTION__6fd1176f_8779_44df_9799_3"/>
      <w:bookmarkStart w:id="41" w:name="_ENGROSSING_REV__30dbb840_3881_40b4_831e"/>
      <w:bookmarkEnd w:id="32"/>
      <w:bookmarkEnd w:id="35"/>
      <w:bookmarkEnd w:id="36"/>
      <w:bookmarkEnd w:id="37"/>
      <w:bookmarkEnd w:id="41"/>
      <w:r>
        <w:rPr>
          <w:rFonts w:ascii="Arial" w:eastAsia="Arial" w:hAnsi="Arial" w:cs="Arial"/>
          <w:b/>
          <w:sz w:val="24"/>
        </w:rPr>
        <w:t xml:space="preserve">Sec. </w:t>
      </w:r>
      <w:bookmarkStart w:id="42" w:name="_BILL_SECTION_NUMBER__f3eba249_d230_469c"/>
      <w:r>
        <w:rPr>
          <w:rFonts w:ascii="Arial" w:eastAsia="Arial" w:hAnsi="Arial" w:cs="Arial"/>
          <w:b/>
          <w:sz w:val="24"/>
        </w:rPr>
        <w:t>4</w:t>
      </w:r>
      <w:bookmarkEnd w:id="42"/>
      <w:r>
        <w:rPr>
          <w:rFonts w:ascii="Arial" w:eastAsia="Arial" w:hAnsi="Arial" w:cs="Arial"/>
          <w:b/>
          <w:sz w:val="24"/>
        </w:rPr>
        <w:t>.  32 MRSA §18371, sub-§1, ¶M,</w:t>
      </w:r>
      <w:r>
        <w:rPr>
          <w:rFonts w:ascii="Arial" w:eastAsia="Arial" w:hAnsi="Arial" w:cs="Arial"/>
        </w:rPr>
        <w:t xml:space="preserve"> as enacted by PL 2015, c. 429, §21, is amended to read:</w:t>
      </w:r>
    </w:p>
    <w:p w:rsidR="00290963" w:rsidP="00290963">
      <w:pPr>
        <w:ind w:left="720"/>
        <w:rPr>
          <w:rFonts w:ascii="Arial" w:eastAsia="Arial" w:hAnsi="Arial" w:cs="Arial"/>
        </w:rPr>
      </w:pPr>
      <w:bookmarkStart w:id="43" w:name="_STATUTE_NUMBER__56aaf48c_6303_4984_b170"/>
      <w:bookmarkStart w:id="44" w:name="_STATUTE_P__3c54d23a_4793_4c66_878e_4b69"/>
      <w:bookmarkStart w:id="45" w:name="_PAR__15_0fd10c20_3fdb_4a98_a676_381e215"/>
      <w:bookmarkEnd w:id="38"/>
      <w:bookmarkEnd w:id="39"/>
      <w:r>
        <w:rPr>
          <w:rFonts w:ascii="Arial" w:eastAsia="Arial" w:hAnsi="Arial" w:cs="Arial"/>
        </w:rPr>
        <w:t>M</w:t>
      </w:r>
      <w:bookmarkEnd w:id="43"/>
      <w:r>
        <w:rPr>
          <w:rFonts w:ascii="Arial" w:eastAsia="Arial" w:hAnsi="Arial" w:cs="Arial"/>
        </w:rPr>
        <w:t xml:space="preserve">.  </w:t>
      </w:r>
      <w:bookmarkStart w:id="46" w:name="_STATUTE_CONTENT__f0bf7255_3060_4624_b3f"/>
      <w:r>
        <w:rPr>
          <w:rFonts w:ascii="Arial" w:eastAsia="Arial" w:hAnsi="Arial" w:cs="Arial"/>
        </w:rPr>
        <w:t xml:space="preserve">Prescribe drugs or medicine and administer local anesthesia, analgesia including nitrous oxide and oxygen inhalation and, with the appropriate permit issued by the board, administer sedation and general anesthesia necessary for proper dental treatment; </w:t>
      </w:r>
      <w:r>
        <w:rPr>
          <w:rFonts w:ascii="Arial" w:eastAsia="Arial" w:hAnsi="Arial" w:cs="Arial"/>
          <w:strike/>
        </w:rPr>
        <w:t>and</w:t>
      </w:r>
      <w:bookmarkEnd w:id="46"/>
    </w:p>
    <w:p w:rsidR="00290963" w:rsidP="00290963">
      <w:pPr>
        <w:ind w:left="360" w:firstLine="360"/>
        <w:rPr>
          <w:rFonts w:ascii="Arial" w:eastAsia="Arial" w:hAnsi="Arial" w:cs="Arial"/>
        </w:rPr>
      </w:pPr>
      <w:bookmarkStart w:id="47" w:name="_BILL_SECTION_HEADER__f05db273_7a4e_48d8"/>
      <w:bookmarkStart w:id="48" w:name="_PAR__16_520405d2_47fc_4791_91be_997fa9a"/>
      <w:bookmarkStart w:id="49" w:name="_BILL_SECTION__252e9b1d_a3ef_4a50_b3f6_9"/>
      <w:bookmarkEnd w:id="40"/>
      <w:bookmarkEnd w:id="44"/>
      <w:bookmarkEnd w:id="45"/>
      <w:r>
        <w:rPr>
          <w:rFonts w:ascii="Arial" w:eastAsia="Arial" w:hAnsi="Arial" w:cs="Arial"/>
          <w:b/>
          <w:sz w:val="24"/>
        </w:rPr>
        <w:t xml:space="preserve">Sec. </w:t>
      </w:r>
      <w:bookmarkStart w:id="50" w:name="_BILL_SECTION_NUMBER__a5edb779_6ec9_40ca"/>
      <w:r>
        <w:rPr>
          <w:rFonts w:ascii="Arial" w:eastAsia="Arial" w:hAnsi="Arial" w:cs="Arial"/>
          <w:b/>
          <w:sz w:val="24"/>
        </w:rPr>
        <w:t>5</w:t>
      </w:r>
      <w:bookmarkEnd w:id="50"/>
      <w:r>
        <w:rPr>
          <w:rFonts w:ascii="Arial" w:eastAsia="Arial" w:hAnsi="Arial" w:cs="Arial"/>
          <w:b/>
          <w:sz w:val="24"/>
        </w:rPr>
        <w:t>.  32 MRSA §18371, sub-§1, ¶N,</w:t>
      </w:r>
      <w:r>
        <w:rPr>
          <w:rFonts w:ascii="Arial" w:eastAsia="Arial" w:hAnsi="Arial" w:cs="Arial"/>
        </w:rPr>
        <w:t xml:space="preserve"> as enacted by PL 2015, c. 429, §21, is amended to read:</w:t>
      </w:r>
    </w:p>
    <w:p w:rsidR="00290963" w:rsidP="00290963">
      <w:pPr>
        <w:ind w:left="720"/>
        <w:rPr>
          <w:rFonts w:ascii="Arial" w:eastAsia="Arial" w:hAnsi="Arial" w:cs="Arial"/>
        </w:rPr>
      </w:pPr>
      <w:bookmarkStart w:id="51" w:name="_STATUTE_NUMBER__f778df2c_414c_49d7_96cb"/>
      <w:bookmarkStart w:id="52" w:name="_STATUTE_P__4a38b2e1_2d85_4de4_ac7a_1f6c"/>
      <w:bookmarkStart w:id="53" w:name="_PAR__1_11c39b22_8558_4a4f_a8b3_0c900a53"/>
      <w:bookmarkEnd w:id="47"/>
      <w:bookmarkEnd w:id="48"/>
      <w:r>
        <w:rPr>
          <w:rFonts w:ascii="Arial" w:eastAsia="Arial" w:hAnsi="Arial" w:cs="Arial"/>
        </w:rPr>
        <w:t>N</w:t>
      </w:r>
      <w:bookmarkEnd w:id="51"/>
      <w:r>
        <w:rPr>
          <w:rFonts w:ascii="Arial" w:eastAsia="Arial" w:hAnsi="Arial" w:cs="Arial"/>
        </w:rPr>
        <w:t xml:space="preserve">.  </w:t>
      </w:r>
      <w:bookmarkStart w:id="54" w:name="_STATUTE_CONTENT__30f0820b_1036_4416_9d3"/>
      <w:r>
        <w:rPr>
          <w:rFonts w:ascii="Arial" w:eastAsia="Arial" w:hAnsi="Arial" w:cs="Arial"/>
        </w:rPr>
        <w:t>Take case histories and perform physical examinations to the extent the activities are necessary in the exercise of due care in conjunction with the provision of dental treatment or the administration of anesthesia.  A dentist is not permitted to perform physical examinations within a hospital licensed by the Department of Health and Human Services unless this activity is permitted by the hospital</w:t>
      </w:r>
      <w:r>
        <w:rPr>
          <w:rFonts w:ascii="Arial" w:eastAsia="Arial" w:hAnsi="Arial" w:cs="Arial"/>
          <w:strike/>
        </w:rPr>
        <w:t>.</w:t>
      </w:r>
      <w:r>
        <w:rPr>
          <w:rFonts w:ascii="Arial" w:eastAsia="Arial" w:hAnsi="Arial" w:cs="Arial"/>
          <w:u w:val="single"/>
        </w:rPr>
        <w:t>; and</w:t>
      </w:r>
      <w:bookmarkEnd w:id="54"/>
    </w:p>
    <w:p w:rsidR="00290963" w:rsidP="00290963">
      <w:pPr>
        <w:ind w:left="360" w:firstLine="360"/>
        <w:rPr>
          <w:rFonts w:ascii="Arial" w:eastAsia="Arial" w:hAnsi="Arial" w:cs="Arial"/>
        </w:rPr>
      </w:pPr>
      <w:bookmarkStart w:id="55" w:name="_BILL_SECTION_HEADER__df0fdb76_9b07_4290"/>
      <w:bookmarkStart w:id="56" w:name="_PAR__2_580b6cbc_b0e6_42d5_8beb_32b1106d"/>
      <w:bookmarkStart w:id="57" w:name="_BILL_SECTION__50bf44b9_b8f7_4f7e_ac23_6"/>
      <w:bookmarkEnd w:id="49"/>
      <w:bookmarkEnd w:id="52"/>
      <w:bookmarkEnd w:id="53"/>
      <w:r>
        <w:rPr>
          <w:rFonts w:ascii="Arial" w:eastAsia="Arial" w:hAnsi="Arial" w:cs="Arial"/>
          <w:b/>
          <w:sz w:val="24"/>
        </w:rPr>
        <w:t xml:space="preserve">Sec. </w:t>
      </w:r>
      <w:bookmarkStart w:id="58" w:name="_BILL_SECTION_NUMBER__1ca70781_470b_449a"/>
      <w:r>
        <w:rPr>
          <w:rFonts w:ascii="Arial" w:eastAsia="Arial" w:hAnsi="Arial" w:cs="Arial"/>
          <w:b/>
          <w:sz w:val="24"/>
        </w:rPr>
        <w:t>6</w:t>
      </w:r>
      <w:bookmarkEnd w:id="58"/>
      <w:r>
        <w:rPr>
          <w:rFonts w:ascii="Arial" w:eastAsia="Arial" w:hAnsi="Arial" w:cs="Arial"/>
          <w:b/>
          <w:sz w:val="24"/>
        </w:rPr>
        <w:t>.  32 MRSA §18371, sub-§1, ¶O</w:t>
      </w:r>
      <w:r>
        <w:rPr>
          <w:rFonts w:ascii="Arial" w:eastAsia="Arial" w:hAnsi="Arial" w:cs="Arial"/>
        </w:rPr>
        <w:t xml:space="preserve"> is enacted to read:</w:t>
      </w:r>
    </w:p>
    <w:p w:rsidR="00290963" w:rsidP="00290963">
      <w:pPr>
        <w:ind w:left="720"/>
        <w:rPr>
          <w:rFonts w:ascii="Arial" w:eastAsia="Arial" w:hAnsi="Arial" w:cs="Arial"/>
        </w:rPr>
      </w:pPr>
      <w:bookmarkStart w:id="59" w:name="_STATUTE_NUMBER__fd6726c3_34ee_491c_b407"/>
      <w:bookmarkStart w:id="60" w:name="_STATUTE_P__6f6b4593_5216_472a_afa6_af65"/>
      <w:bookmarkStart w:id="61" w:name="_PAR__3_5e1abbdd_a2f7_4a5d_9131_5d0f7336"/>
      <w:bookmarkEnd w:id="55"/>
      <w:bookmarkEnd w:id="56"/>
      <w:r>
        <w:rPr>
          <w:rFonts w:ascii="Arial" w:eastAsia="Arial" w:hAnsi="Arial" w:cs="Arial"/>
          <w:u w:val="single"/>
        </w:rPr>
        <w:t>O</w:t>
      </w:r>
      <w:bookmarkEnd w:id="59"/>
      <w:r>
        <w:rPr>
          <w:rFonts w:ascii="Arial" w:eastAsia="Arial" w:hAnsi="Arial" w:cs="Arial"/>
          <w:u w:val="single"/>
        </w:rPr>
        <w:t xml:space="preserve">.  </w:t>
      </w:r>
      <w:bookmarkStart w:id="62" w:name="_STATUTE_CONTENT__f8460cda_dba4_4da2_ac9"/>
      <w:r w:rsidRPr="006912E1">
        <w:rPr>
          <w:rFonts w:ascii="Arial" w:eastAsia="Arial" w:hAnsi="Arial" w:cs="Arial"/>
          <w:szCs w:val="22"/>
          <w:u w:val="single"/>
        </w:rPr>
        <w:t xml:space="preserve">Administer botulinum toxins </w:t>
      </w:r>
      <w:r>
        <w:rPr>
          <w:rFonts w:ascii="Arial" w:eastAsia="Arial" w:hAnsi="Arial" w:cs="Arial"/>
          <w:szCs w:val="22"/>
          <w:u w:val="single"/>
        </w:rPr>
        <w:t>or</w:t>
      </w:r>
      <w:r w:rsidRPr="006912E1">
        <w:rPr>
          <w:rFonts w:ascii="Arial" w:eastAsia="Arial" w:hAnsi="Arial" w:cs="Arial"/>
          <w:szCs w:val="22"/>
          <w:u w:val="single"/>
        </w:rPr>
        <w:t xml:space="preserve"> dermal fillers to a patient with a diagnosed dental condition or </w:t>
      </w:r>
      <w:r w:rsidRPr="006912E1">
        <w:rPr>
          <w:rFonts w:ascii="Arial" w:eastAsia="Arial" w:hAnsi="Arial" w:cs="Arial"/>
          <w:szCs w:val="22"/>
          <w:u w:val="single"/>
        </w:rPr>
        <w:t xml:space="preserve">when </w:t>
      </w:r>
      <w:r>
        <w:rPr>
          <w:rFonts w:ascii="Arial" w:eastAsia="Arial" w:hAnsi="Arial" w:cs="Arial"/>
          <w:szCs w:val="22"/>
          <w:u w:val="single"/>
        </w:rPr>
        <w:t xml:space="preserve">that administration is </w:t>
      </w:r>
      <w:r w:rsidRPr="006912E1">
        <w:rPr>
          <w:rFonts w:ascii="Arial" w:eastAsia="Arial" w:hAnsi="Arial" w:cs="Arial"/>
          <w:szCs w:val="22"/>
          <w:u w:val="single"/>
        </w:rPr>
        <w:t>identified as part of a patient's dental treatment plan.</w:t>
      </w:r>
      <w:r>
        <w:rPr>
          <w:rFonts w:ascii="Arial" w:eastAsia="Arial" w:hAnsi="Arial" w:cs="Arial"/>
          <w:szCs w:val="22"/>
          <w:u w:val="single"/>
        </w:rPr>
        <w:t xml:space="preserve">  </w:t>
      </w:r>
      <w:r w:rsidRPr="00A730DC">
        <w:rPr>
          <w:rFonts w:ascii="Arial" w:eastAsia="Arial" w:hAnsi="Arial" w:cs="Arial"/>
          <w:szCs w:val="22"/>
          <w:u w:val="single"/>
        </w:rPr>
        <w:t>A dentist who has successfully completed postgraduate training and certification in oral and maxillofacial surgery from a program accredited by the American Dental Association Commission on Dental Accreditation or its successor organization may administer botulinum toxin or dermal fillers in the course of treatment for oral or maxillofacial disease, disfigurement or disjunction.</w:t>
      </w:r>
    </w:p>
    <w:p w:rsidR="00000000" w:rsidP="00290963">
      <w:pPr>
        <w:ind w:left="360" w:firstLine="360"/>
        <w:rPr>
          <w:rFonts w:ascii="Arial" w:eastAsia="Arial" w:hAnsi="Arial" w:cs="Arial"/>
        </w:rPr>
      </w:pPr>
      <w:bookmarkStart w:id="63" w:name="_EMERGENCY_CLAUSE__7a335faa_c803_4eff_8a"/>
      <w:bookmarkStart w:id="64" w:name="_PAR__4_3332b7a6_60bf_423e_abe1_d63e459f"/>
      <w:bookmarkStart w:id="65" w:name="_ENGROSSING_REV__77f1ddeb_e55e_48ef_8b14"/>
      <w:bookmarkEnd w:id="15"/>
      <w:bookmarkEnd w:id="57"/>
      <w:bookmarkEnd w:id="60"/>
      <w:bookmarkEnd w:id="61"/>
      <w:bookmarkEnd w:id="62"/>
      <w:bookmarkEnd w:id="65"/>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63"/>
      <w:bookmarkEnd w:id="6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LR0118,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a Dentist To Administer Botulinum Toxin and Dermal Fillers</w:t>
    </w:r>
  </w:p>
  <w:p>
    <w:pPr>
      <w:suppressLineNumbers/>
      <w:spacing w:before="0" w:after="0"/>
      <w:jc w:val="center"/>
      <w:rPr>
        <w:rFonts w:ascii="Arial" w:eastAsia="Arial" w:hAnsi="Arial" w:cs="Arial"/>
      </w:rPr>
    </w:pPr>
    <w:r>
      <w:rPr>
        <w:rFonts w:ascii="Arial" w:eastAsia="Arial" w:hAnsi="Arial" w:cs="Arial"/>
        <w:sz w:val="22"/>
      </w:rPr>
      <w:t>L.D. 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90963"/>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12E1"/>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730DC"/>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13660"/>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