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Legislative Approval of Certain Transmission Lines, Require Legislative Approval of Certain Transmission Lines and Facilities and Other Projects on Public Reserved Lands and Prohibit the Construction of Certain Transmission Lines in the Upper Kennebec Region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I.B. 1 - L.D. 1295</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Require Legislative Approval of Certain Transmission Lines, Require Legislative Approval of Certain Transmission Lines and Facilities and Other Projects on Public Reserved Lands and Prohibit the Construction of Certain Transmission Lines in the Upper Kennebec Region</w:t>
      </w:r>
    </w:p>
    <w:p w:rsidR="00421DEF" w:rsidP="00421DEF">
      <w:pPr>
        <w:ind w:left="360"/>
        <w:rPr>
          <w:rFonts w:ascii="Arial" w:eastAsia="Arial" w:hAnsi="Arial" w:cs="Arial"/>
        </w:rPr>
      </w:pPr>
      <w:bookmarkStart w:id="0" w:name="_ENACTING_CLAUSE__b4ec8786_ea6e_435f_b90"/>
      <w:bookmarkStart w:id="1" w:name="_PAR__1_7ab2e22f_60ce_4dfd_9b96_2529c233"/>
      <w:bookmarkStart w:id="2" w:name="_DOC_BODY_CONTAINER__7b4fbb4a_18cf_4dac_"/>
      <w:r>
        <w:rPr>
          <w:rFonts w:ascii="Arial" w:eastAsia="Arial" w:hAnsi="Arial" w:cs="Arial"/>
          <w:b/>
        </w:rPr>
        <w:t>Be it enacted by the People of the State of Maine as follows:</w:t>
      </w:r>
    </w:p>
    <w:p w:rsidR="00421DEF" w:rsidP="00421DEF">
      <w:pPr>
        <w:ind w:left="360" w:firstLine="360"/>
        <w:rPr>
          <w:rFonts w:ascii="Arial" w:eastAsia="Arial" w:hAnsi="Arial" w:cs="Arial"/>
        </w:rPr>
      </w:pPr>
      <w:bookmarkStart w:id="3" w:name="_BILL_SECTION_HEADER__ab0e55da_d7ad_41b6"/>
      <w:bookmarkStart w:id="4" w:name="_PAR__2_802fc83c_715d_46b5_a3a0_945ff5e0"/>
      <w:bookmarkStart w:id="5" w:name="_BILL_SECTION__824e1f23_d1e0_430e_9fab_4"/>
      <w:bookmarkStart w:id="6" w:name="_DOC_BODY_CONTENT__eb5b6bb6_2e7d_495d_b3"/>
      <w:bookmarkEnd w:id="0"/>
      <w:bookmarkEnd w:id="1"/>
      <w:r>
        <w:rPr>
          <w:rFonts w:ascii="Arial" w:eastAsia="Arial" w:hAnsi="Arial" w:cs="Arial"/>
          <w:b/>
          <w:sz w:val="24"/>
        </w:rPr>
        <w:t xml:space="preserve">Sec. </w:t>
      </w:r>
      <w:bookmarkStart w:id="7" w:name="_BILL_SECTION_NUMBER__e2c9eecd_458c_429c"/>
      <w:r>
        <w:rPr>
          <w:rFonts w:ascii="Arial" w:eastAsia="Arial" w:hAnsi="Arial" w:cs="Arial"/>
          <w:b/>
          <w:sz w:val="24"/>
        </w:rPr>
        <w:t>1</w:t>
      </w:r>
      <w:bookmarkEnd w:id="7"/>
      <w:r>
        <w:rPr>
          <w:rFonts w:ascii="Arial" w:eastAsia="Arial" w:hAnsi="Arial" w:cs="Arial"/>
          <w:b/>
          <w:sz w:val="24"/>
        </w:rPr>
        <w:t>.  12 MRSA §1852, sub-§4,</w:t>
      </w:r>
      <w:r>
        <w:rPr>
          <w:rFonts w:ascii="Arial" w:eastAsia="Arial" w:hAnsi="Arial" w:cs="Arial"/>
        </w:rPr>
        <w:t xml:space="preserve"> as enacted by PL 1997, c. 678, §13 and amended by PL 2013, c. 405, Pt. A, §24, is further amended to read:</w:t>
      </w:r>
    </w:p>
    <w:p w:rsidR="00421DEF" w:rsidP="00421DEF">
      <w:pPr>
        <w:ind w:left="360" w:firstLine="360"/>
        <w:rPr>
          <w:rFonts w:ascii="Arial" w:eastAsia="Arial" w:hAnsi="Arial" w:cs="Arial"/>
        </w:rPr>
      </w:pPr>
      <w:bookmarkStart w:id="8" w:name="_STATUTE_NUMBER__80340027_afcb_4d95_b22c"/>
      <w:bookmarkStart w:id="9" w:name="_PAR__3_8dbeab0f_cfc8_4503_be60_6fc9b75a"/>
      <w:bookmarkStart w:id="10" w:name="_STATUTE_SS__583080db_69fe_428e_b284_e79"/>
      <w:bookmarkEnd w:id="3"/>
      <w:bookmarkEnd w:id="4"/>
      <w:r>
        <w:rPr>
          <w:rFonts w:ascii="Arial" w:eastAsia="Arial" w:hAnsi="Arial" w:cs="Arial"/>
          <w:b/>
        </w:rPr>
        <w:t>4</w:t>
      </w:r>
      <w:bookmarkEnd w:id="8"/>
      <w:r>
        <w:rPr>
          <w:rFonts w:ascii="Arial" w:eastAsia="Arial" w:hAnsi="Arial" w:cs="Arial"/>
          <w:b/>
        </w:rPr>
        <w:t xml:space="preserve">.  </w:t>
      </w:r>
      <w:bookmarkStart w:id="11" w:name="_STATUTE_HEADNOTE__276e3e44_d96b_44e2_a7"/>
      <w:r>
        <w:rPr>
          <w:rFonts w:ascii="Arial" w:eastAsia="Arial" w:hAnsi="Arial" w:cs="Arial"/>
          <w:b/>
        </w:rPr>
        <w:t>Lease of public reserved land for utilities and rights-of-way.</w:t>
      </w:r>
      <w:bookmarkEnd w:id="11"/>
      <w:r>
        <w:rPr>
          <w:rFonts w:ascii="Arial" w:eastAsia="Arial" w:hAnsi="Arial" w:cs="Arial"/>
          <w:b/>
        </w:rPr>
        <w:t xml:space="preserve"> </w:t>
      </w:r>
      <w:bookmarkStart w:id="12" w:name="_STATUTE_CONTENT__fc864bb1_b7aa_4f24_b97"/>
      <w:r>
        <w:rPr>
          <w:rFonts w:ascii="Arial" w:eastAsia="Arial" w:hAnsi="Arial" w:cs="Arial"/>
        </w:rPr>
        <w:t xml:space="preserve"> The bureau may lease the right, for a term not exceeding 25 years, to:</w:t>
      </w:r>
      <w:bookmarkEnd w:id="12"/>
    </w:p>
    <w:p w:rsidR="00421DEF" w:rsidP="00421DEF">
      <w:pPr>
        <w:ind w:left="720"/>
        <w:rPr>
          <w:rFonts w:ascii="Arial" w:eastAsia="Arial" w:hAnsi="Arial" w:cs="Arial"/>
        </w:rPr>
      </w:pPr>
      <w:bookmarkStart w:id="13" w:name="_STATUTE_NUMBER__7ca2330f_29c0_4723_9b15"/>
      <w:bookmarkStart w:id="14" w:name="_STATUTE_P__9440343d_9701_4eff_bff4_fd7d"/>
      <w:bookmarkStart w:id="15" w:name="_PAR__4_7647cc94_b09d_4836_8cb3_0032542a"/>
      <w:bookmarkEnd w:id="9"/>
      <w:r>
        <w:rPr>
          <w:rFonts w:ascii="Arial" w:eastAsia="Arial" w:hAnsi="Arial" w:cs="Arial"/>
        </w:rPr>
        <w:t>A</w:t>
      </w:r>
      <w:bookmarkEnd w:id="13"/>
      <w:r>
        <w:rPr>
          <w:rFonts w:ascii="Arial" w:eastAsia="Arial" w:hAnsi="Arial" w:cs="Arial"/>
        </w:rPr>
        <w:t xml:space="preserve">.  </w:t>
      </w:r>
      <w:bookmarkStart w:id="16" w:name="_STATUTE_CONTENT__a66c54d3_a083_4d45_bc4"/>
      <w:r>
        <w:rPr>
          <w:rFonts w:ascii="Arial" w:eastAsia="Arial" w:hAnsi="Arial" w:cs="Arial"/>
        </w:rPr>
        <w:t xml:space="preserve">Set and maintain or use poles, electric power transmission and telecommunication transmission </w:t>
      </w:r>
      <w:r>
        <w:rPr>
          <w:rFonts w:ascii="Arial" w:eastAsia="Arial" w:hAnsi="Arial" w:cs="Arial"/>
          <w:u w:val="single"/>
        </w:rPr>
        <w:t>lines and</w:t>
      </w:r>
      <w:r>
        <w:rPr>
          <w:rFonts w:ascii="Arial" w:eastAsia="Arial" w:hAnsi="Arial" w:cs="Arial"/>
        </w:rPr>
        <w:t xml:space="preserve"> facilities, roads, bridges and landing strips;</w:t>
      </w:r>
      <w:bookmarkEnd w:id="16"/>
    </w:p>
    <w:p w:rsidR="00421DEF" w:rsidP="00421DEF">
      <w:pPr>
        <w:ind w:left="720"/>
        <w:rPr>
          <w:rFonts w:ascii="Arial" w:eastAsia="Arial" w:hAnsi="Arial" w:cs="Arial"/>
        </w:rPr>
      </w:pPr>
      <w:bookmarkStart w:id="17" w:name="_STATUTE_NUMBER__b7fd5a85_a71d_4b6f_917a"/>
      <w:bookmarkStart w:id="18" w:name="_STATUTE_P__49df5d1b_96d4_4850_86e2_f577"/>
      <w:bookmarkStart w:id="19" w:name="_PAR__5_445a6140_3147_497e_9109_df653fc4"/>
      <w:bookmarkEnd w:id="14"/>
      <w:bookmarkEnd w:id="15"/>
      <w:r>
        <w:rPr>
          <w:rFonts w:ascii="Arial" w:eastAsia="Arial" w:hAnsi="Arial" w:cs="Arial"/>
        </w:rPr>
        <w:t>B</w:t>
      </w:r>
      <w:bookmarkEnd w:id="17"/>
      <w:r>
        <w:rPr>
          <w:rFonts w:ascii="Arial" w:eastAsia="Arial" w:hAnsi="Arial" w:cs="Arial"/>
        </w:rPr>
        <w:t xml:space="preserve">.  </w:t>
      </w:r>
      <w:bookmarkStart w:id="20" w:name="_STATUTE_CONTENT__95f627d0_392a_4bd7_a48"/>
      <w:r>
        <w:rPr>
          <w:rFonts w:ascii="Arial" w:eastAsia="Arial" w:hAnsi="Arial" w:cs="Arial"/>
        </w:rPr>
        <w:t>Lay and maintain or use pipelines and railroad tracks; and</w:t>
      </w:r>
      <w:bookmarkEnd w:id="20"/>
    </w:p>
    <w:p w:rsidR="00421DEF" w:rsidP="00421DEF">
      <w:pPr>
        <w:ind w:left="720"/>
        <w:rPr>
          <w:rFonts w:ascii="Arial" w:eastAsia="Arial" w:hAnsi="Arial" w:cs="Arial"/>
        </w:rPr>
      </w:pPr>
      <w:bookmarkStart w:id="21" w:name="_STATUTE_NUMBER__6d2f0fda_60b2_4ad3_a7c4"/>
      <w:bookmarkStart w:id="22" w:name="_STATUTE_P__46ef46e8_5474_4d1d_89e6_e0b4"/>
      <w:bookmarkStart w:id="23" w:name="_PAR__6_1862a283_234d_4882_adcd_b7838210"/>
      <w:bookmarkEnd w:id="18"/>
      <w:bookmarkEnd w:id="19"/>
      <w:r>
        <w:rPr>
          <w:rFonts w:ascii="Arial" w:eastAsia="Arial" w:hAnsi="Arial" w:cs="Arial"/>
        </w:rPr>
        <w:t>C</w:t>
      </w:r>
      <w:bookmarkEnd w:id="21"/>
      <w:r>
        <w:rPr>
          <w:rFonts w:ascii="Arial" w:eastAsia="Arial" w:hAnsi="Arial" w:cs="Arial"/>
        </w:rPr>
        <w:t xml:space="preserve">.  </w:t>
      </w:r>
      <w:bookmarkStart w:id="24" w:name="_STATUTE_CONTENT__60a299a5_3ee7_4a10_8c8"/>
      <w:r>
        <w:rPr>
          <w:rFonts w:ascii="Arial" w:eastAsia="Arial" w:hAnsi="Arial" w:cs="Arial"/>
        </w:rPr>
        <w:t>Establish and maintain or use other rights-of-way.</w:t>
      </w:r>
      <w:bookmarkEnd w:id="24"/>
    </w:p>
    <w:p w:rsidR="00421DEF" w:rsidRPr="00DD16D6" w:rsidP="00421DEF">
      <w:pPr>
        <w:ind w:left="360"/>
        <w:rPr>
          <w:rFonts w:ascii="Arial" w:eastAsia="Arial" w:hAnsi="Arial" w:cs="Arial"/>
        </w:rPr>
      </w:pPr>
      <w:bookmarkStart w:id="25" w:name="_STATUTE_P__1b670828_29c2_4159_813f_8546"/>
      <w:bookmarkStart w:id="26" w:name="_STATUTE_CONTENT__811d555c_a273_45a2_841"/>
      <w:bookmarkStart w:id="27" w:name="_PAR__7_2ee8e983_9657_4626_a300_e529b140"/>
      <w:bookmarkEnd w:id="22"/>
      <w:bookmarkEnd w:id="23"/>
      <w:r>
        <w:rPr>
          <w:rFonts w:ascii="Arial" w:eastAsia="Arial" w:hAnsi="Arial" w:cs="Arial"/>
          <w:color w:val="333333"/>
          <w:szCs w:val="22"/>
          <w:u w:val="single"/>
        </w:rPr>
        <w:t>A</w:t>
      </w:r>
      <w:r w:rsidRPr="00DD16D6">
        <w:rPr>
          <w:rFonts w:ascii="Arial" w:eastAsia="Arial" w:hAnsi="Arial" w:cs="Arial"/>
          <w:color w:val="333333"/>
          <w:szCs w:val="22"/>
          <w:u w:val="single"/>
        </w:rPr>
        <w:t xml:space="preserve">ny such poles, transmission lines and facilities, landing strips, pipelines and railroad tracks </w:t>
      </w:r>
      <w:r>
        <w:rPr>
          <w:rFonts w:ascii="Arial" w:eastAsia="Arial" w:hAnsi="Arial" w:cs="Arial"/>
          <w:color w:val="333333"/>
          <w:szCs w:val="22"/>
          <w:u w:val="single"/>
        </w:rPr>
        <w:t xml:space="preserve">under this subsection </w:t>
      </w:r>
      <w:r>
        <w:rPr>
          <w:rFonts w:ascii="Arial" w:eastAsia="Arial" w:hAnsi="Arial" w:cs="Arial"/>
          <w:color w:val="333333"/>
          <w:szCs w:val="22"/>
          <w:u w:val="single"/>
        </w:rPr>
        <w:t>are</w:t>
      </w:r>
      <w:r w:rsidRPr="00DD16D6">
        <w:rPr>
          <w:rFonts w:ascii="Arial" w:eastAsia="Arial" w:hAnsi="Arial" w:cs="Arial"/>
          <w:color w:val="333333"/>
          <w:szCs w:val="22"/>
          <w:u w:val="single"/>
        </w:rPr>
        <w:t xml:space="preserve"> deemed to substantially alter the uses of the land within the meaning of the Constitution </w:t>
      </w:r>
      <w:r>
        <w:rPr>
          <w:rFonts w:ascii="Arial" w:eastAsia="Arial" w:hAnsi="Arial" w:cs="Arial"/>
          <w:color w:val="333333"/>
          <w:szCs w:val="22"/>
          <w:u w:val="single"/>
        </w:rPr>
        <w:t>of Maine, Article IX, Section 23</w:t>
      </w:r>
      <w:r>
        <w:rPr>
          <w:rFonts w:ascii="Arial" w:eastAsia="Arial" w:hAnsi="Arial" w:cs="Arial"/>
          <w:color w:val="333333"/>
          <w:szCs w:val="22"/>
          <w:u w:val="single"/>
        </w:rPr>
        <w:t>,</w:t>
      </w:r>
      <w:r>
        <w:rPr>
          <w:rFonts w:ascii="Arial" w:eastAsia="Arial" w:hAnsi="Arial" w:cs="Arial"/>
          <w:color w:val="333333"/>
          <w:szCs w:val="22"/>
          <w:u w:val="single"/>
        </w:rPr>
        <w:t xml:space="preserve"> </w:t>
      </w:r>
      <w:r w:rsidRPr="00DD16D6">
        <w:rPr>
          <w:rFonts w:ascii="Arial" w:eastAsia="Arial" w:hAnsi="Arial" w:cs="Arial"/>
          <w:color w:val="333333"/>
          <w:szCs w:val="22"/>
          <w:u w:val="single"/>
        </w:rPr>
        <w:t xml:space="preserve">and </w:t>
      </w:r>
      <w:r>
        <w:rPr>
          <w:rFonts w:ascii="Arial" w:eastAsia="Arial" w:hAnsi="Arial" w:cs="Arial"/>
          <w:color w:val="333333"/>
          <w:szCs w:val="22"/>
          <w:u w:val="single"/>
        </w:rPr>
        <w:t>a</w:t>
      </w:r>
      <w:r w:rsidRPr="00DD16D6">
        <w:rPr>
          <w:rFonts w:ascii="Arial" w:eastAsia="Arial" w:hAnsi="Arial" w:cs="Arial"/>
          <w:color w:val="333333"/>
          <w:szCs w:val="22"/>
          <w:u w:val="single"/>
        </w:rPr>
        <w:t xml:space="preserve"> lease or conveyance for the purpose of constructing and operating such </w:t>
      </w:r>
      <w:r>
        <w:rPr>
          <w:rFonts w:ascii="Arial" w:eastAsia="Arial" w:hAnsi="Arial" w:cs="Arial"/>
          <w:color w:val="333333"/>
          <w:szCs w:val="22"/>
          <w:u w:val="single"/>
        </w:rPr>
        <w:t>poles, transmission lines and facilities</w:t>
      </w:r>
      <w:r>
        <w:rPr>
          <w:rFonts w:ascii="Arial" w:eastAsia="Arial" w:hAnsi="Arial" w:cs="Arial"/>
          <w:color w:val="333333"/>
          <w:szCs w:val="22"/>
          <w:u w:val="single"/>
        </w:rPr>
        <w:t>, landing strips, pipelines and railroad tracks under this subsection</w:t>
      </w:r>
      <w:r w:rsidRPr="00DD16D6">
        <w:rPr>
          <w:rFonts w:ascii="Arial" w:eastAsia="Arial" w:hAnsi="Arial" w:cs="Arial"/>
          <w:color w:val="333333"/>
          <w:szCs w:val="22"/>
          <w:u w:val="single"/>
        </w:rPr>
        <w:t xml:space="preserve"> may </w:t>
      </w:r>
      <w:r>
        <w:rPr>
          <w:rFonts w:ascii="Arial" w:eastAsia="Arial" w:hAnsi="Arial" w:cs="Arial"/>
          <w:color w:val="333333"/>
          <w:szCs w:val="22"/>
          <w:u w:val="single"/>
        </w:rPr>
        <w:t xml:space="preserve">not </w:t>
      </w:r>
      <w:r w:rsidRPr="00DD16D6">
        <w:rPr>
          <w:rFonts w:ascii="Arial" w:eastAsia="Arial" w:hAnsi="Arial" w:cs="Arial"/>
          <w:color w:val="333333"/>
          <w:szCs w:val="22"/>
          <w:u w:val="single"/>
        </w:rPr>
        <w:t>be granted without first obtaining the vote of 2/3 of all the members elected to each House</w:t>
      </w:r>
      <w:r>
        <w:rPr>
          <w:rFonts w:ascii="Arial" w:eastAsia="Arial" w:hAnsi="Arial" w:cs="Arial"/>
          <w:color w:val="333333"/>
          <w:szCs w:val="22"/>
          <w:u w:val="single"/>
        </w:rPr>
        <w:t xml:space="preserve"> of the Legislature</w:t>
      </w:r>
      <w:r w:rsidRPr="00DD16D6">
        <w:rPr>
          <w:rFonts w:ascii="Arial" w:eastAsia="Arial" w:hAnsi="Arial" w:cs="Arial"/>
          <w:color w:val="333333"/>
          <w:szCs w:val="22"/>
          <w:u w:val="single"/>
        </w:rPr>
        <w:t>.</w:t>
      </w:r>
    </w:p>
    <w:p w:rsidR="00421DEF" w:rsidP="00421DEF">
      <w:pPr>
        <w:ind w:left="360"/>
        <w:rPr>
          <w:rFonts w:ascii="Arial" w:eastAsia="Arial" w:hAnsi="Arial" w:cs="Arial"/>
        </w:rPr>
      </w:pPr>
      <w:bookmarkStart w:id="28" w:name="_STATUTE_CONTENT__b0d4790f_5dbb_4dc4_932"/>
      <w:bookmarkStart w:id="29" w:name="_STATUTE_P__93dcb4ca_c709_40af_a9cb_b88f"/>
      <w:bookmarkStart w:id="30" w:name="_PAR__8_64d7baf3_3ce7_41be_8cf5_0bd49efb"/>
      <w:bookmarkEnd w:id="25"/>
      <w:bookmarkEnd w:id="26"/>
      <w:bookmarkEnd w:id="27"/>
      <w:r w:rsidRPr="00DD16D6">
        <w:rPr>
          <w:rFonts w:ascii="Arial" w:eastAsia="Arial" w:hAnsi="Arial" w:cs="Arial"/>
          <w:szCs w:val="22"/>
          <w:u w:val="single"/>
        </w:rPr>
        <w:t xml:space="preserve">Notwithstanding </w:t>
      </w:r>
      <w:r>
        <w:rPr>
          <w:rFonts w:ascii="Arial" w:eastAsia="Arial" w:hAnsi="Arial" w:cs="Arial"/>
          <w:szCs w:val="22"/>
          <w:u w:val="single"/>
        </w:rPr>
        <w:t xml:space="preserve">Title </w:t>
      </w:r>
      <w:r w:rsidRPr="00DD16D6">
        <w:rPr>
          <w:rFonts w:ascii="Arial" w:eastAsia="Arial" w:hAnsi="Arial" w:cs="Arial"/>
          <w:szCs w:val="22"/>
          <w:u w:val="single"/>
        </w:rPr>
        <w:t>1</w:t>
      </w:r>
      <w:r>
        <w:rPr>
          <w:rFonts w:ascii="Arial" w:eastAsia="Arial" w:hAnsi="Arial" w:cs="Arial"/>
          <w:szCs w:val="22"/>
          <w:u w:val="single"/>
        </w:rPr>
        <w:t>, section</w:t>
      </w:r>
      <w:r w:rsidRPr="00DD16D6">
        <w:rPr>
          <w:rFonts w:ascii="Arial" w:eastAsia="Arial" w:hAnsi="Arial" w:cs="Arial"/>
          <w:szCs w:val="22"/>
          <w:u w:val="single"/>
        </w:rPr>
        <w:t xml:space="preserve"> 302 or any other </w:t>
      </w:r>
      <w:r>
        <w:rPr>
          <w:rFonts w:ascii="Arial" w:eastAsia="Arial" w:hAnsi="Arial" w:cs="Arial"/>
          <w:szCs w:val="22"/>
          <w:u w:val="single"/>
        </w:rPr>
        <w:t xml:space="preserve">provision of </w:t>
      </w:r>
      <w:r w:rsidRPr="00DD16D6">
        <w:rPr>
          <w:rFonts w:ascii="Arial" w:eastAsia="Arial" w:hAnsi="Arial" w:cs="Arial"/>
          <w:szCs w:val="22"/>
          <w:u w:val="single"/>
        </w:rPr>
        <w:t>law</w:t>
      </w:r>
      <w:r>
        <w:rPr>
          <w:rFonts w:ascii="Arial" w:eastAsia="Arial" w:hAnsi="Arial" w:cs="Arial"/>
          <w:szCs w:val="22"/>
          <w:u w:val="single"/>
        </w:rPr>
        <w:t xml:space="preserve"> to the contrary</w:t>
      </w:r>
      <w:r w:rsidRPr="00DD16D6">
        <w:rPr>
          <w:rFonts w:ascii="Arial" w:eastAsia="Arial" w:hAnsi="Arial" w:cs="Arial"/>
          <w:szCs w:val="22"/>
          <w:u w:val="single"/>
        </w:rPr>
        <w:t xml:space="preserve">, this </w:t>
      </w:r>
      <w:r>
        <w:rPr>
          <w:rFonts w:ascii="Arial" w:eastAsia="Arial" w:hAnsi="Arial" w:cs="Arial"/>
          <w:szCs w:val="22"/>
          <w:u w:val="single"/>
        </w:rPr>
        <w:t>sub</w:t>
      </w:r>
      <w:r w:rsidRPr="00DD16D6">
        <w:rPr>
          <w:rFonts w:ascii="Arial" w:eastAsia="Arial" w:hAnsi="Arial" w:cs="Arial"/>
          <w:szCs w:val="22"/>
          <w:u w:val="single"/>
        </w:rPr>
        <w:t xml:space="preserve">section </w:t>
      </w:r>
      <w:r>
        <w:rPr>
          <w:rFonts w:ascii="Arial" w:eastAsia="Arial" w:hAnsi="Arial" w:cs="Arial"/>
          <w:szCs w:val="22"/>
          <w:u w:val="single"/>
        </w:rPr>
        <w:t>applies</w:t>
      </w:r>
      <w:r w:rsidRPr="00DD16D6">
        <w:rPr>
          <w:rFonts w:ascii="Arial" w:eastAsia="Arial" w:hAnsi="Arial" w:cs="Arial"/>
          <w:szCs w:val="22"/>
          <w:u w:val="single"/>
        </w:rPr>
        <w:t xml:space="preserve"> retroactive</w:t>
      </w:r>
      <w:r>
        <w:rPr>
          <w:rFonts w:ascii="Arial" w:eastAsia="Arial" w:hAnsi="Arial" w:cs="Arial"/>
          <w:szCs w:val="22"/>
          <w:u w:val="single"/>
        </w:rPr>
        <w:t>ly</w:t>
      </w:r>
      <w:r w:rsidRPr="00DD16D6">
        <w:rPr>
          <w:rFonts w:ascii="Arial" w:eastAsia="Arial" w:hAnsi="Arial" w:cs="Arial"/>
          <w:szCs w:val="22"/>
          <w:u w:val="single"/>
        </w:rPr>
        <w:t xml:space="preserve"> to September 16, 2014</w:t>
      </w:r>
      <w:r>
        <w:rPr>
          <w:rFonts w:ascii="Arial" w:eastAsia="Arial" w:hAnsi="Arial" w:cs="Arial"/>
          <w:szCs w:val="22"/>
          <w:u w:val="single"/>
        </w:rPr>
        <w:t>.</w:t>
      </w:r>
    </w:p>
    <w:p w:rsidR="00421DEF" w:rsidP="00421DEF">
      <w:pPr>
        <w:ind w:left="360" w:firstLine="360"/>
        <w:rPr>
          <w:rFonts w:ascii="Arial" w:eastAsia="Arial" w:hAnsi="Arial" w:cs="Arial"/>
        </w:rPr>
      </w:pPr>
      <w:bookmarkStart w:id="31" w:name="_BILL_SECTION_HEADER__e7aad642_f451_4c29"/>
      <w:bookmarkStart w:id="32" w:name="_PAR__9_f3992958_f669_42b6_b603_7b57967c"/>
      <w:bookmarkStart w:id="33" w:name="_BILL_SECTION__bc40c45c_ff99_4921_8b73_8"/>
      <w:bookmarkEnd w:id="5"/>
      <w:bookmarkEnd w:id="10"/>
      <w:bookmarkEnd w:id="28"/>
      <w:bookmarkEnd w:id="29"/>
      <w:bookmarkEnd w:id="30"/>
      <w:r>
        <w:rPr>
          <w:rFonts w:ascii="Arial" w:eastAsia="Arial" w:hAnsi="Arial" w:cs="Arial"/>
          <w:b/>
          <w:sz w:val="24"/>
        </w:rPr>
        <w:t xml:space="preserve">Sec. </w:t>
      </w:r>
      <w:bookmarkStart w:id="34" w:name="_BILL_SECTION_NUMBER__9c5c90d9_86c3_4d78"/>
      <w:r>
        <w:rPr>
          <w:rFonts w:ascii="Arial" w:eastAsia="Arial" w:hAnsi="Arial" w:cs="Arial"/>
          <w:b/>
          <w:sz w:val="24"/>
        </w:rPr>
        <w:t>2</w:t>
      </w:r>
      <w:bookmarkEnd w:id="34"/>
      <w:r>
        <w:rPr>
          <w:rFonts w:ascii="Arial" w:eastAsia="Arial" w:hAnsi="Arial" w:cs="Arial"/>
          <w:b/>
          <w:sz w:val="24"/>
        </w:rPr>
        <w:t>.  35-A MRSA §3131, sub-§4-A,</w:t>
      </w:r>
      <w:r>
        <w:rPr>
          <w:rFonts w:ascii="Arial" w:eastAsia="Arial" w:hAnsi="Arial" w:cs="Arial"/>
        </w:rPr>
        <w:t xml:space="preserve"> as enacted by PL 2009, c. 655, Pt. A, §3, is amended to read:</w:t>
      </w:r>
    </w:p>
    <w:p w:rsidR="00421DEF" w:rsidP="00421DEF">
      <w:pPr>
        <w:ind w:left="360" w:firstLine="360"/>
        <w:rPr>
          <w:rFonts w:ascii="Arial" w:eastAsia="Arial" w:hAnsi="Arial" w:cs="Arial"/>
        </w:rPr>
      </w:pPr>
      <w:bookmarkStart w:id="35" w:name="_STATUTE_NUMBER__f737acb5_9a9c_47d2_8f35"/>
      <w:bookmarkStart w:id="36" w:name="_PAR__10_5709d7aa_9193_4eb1_b282_81f083a"/>
      <w:bookmarkStart w:id="37" w:name="_STATUTE_SS__25569a6f_e1af_4b79_822f_fdf"/>
      <w:bookmarkEnd w:id="31"/>
      <w:bookmarkEnd w:id="32"/>
      <w:r>
        <w:rPr>
          <w:rFonts w:ascii="Arial" w:eastAsia="Arial" w:hAnsi="Arial" w:cs="Arial"/>
          <w:b/>
        </w:rPr>
        <w:t>4-A</w:t>
      </w:r>
      <w:bookmarkEnd w:id="35"/>
      <w:r>
        <w:rPr>
          <w:rFonts w:ascii="Arial" w:eastAsia="Arial" w:hAnsi="Arial" w:cs="Arial"/>
          <w:b/>
        </w:rPr>
        <w:t xml:space="preserve">.  </w:t>
      </w:r>
      <w:bookmarkStart w:id="38" w:name="_STATUTE_HEADNOTE__5fb9d7c7_44f4_42a0_9a"/>
      <w:r>
        <w:rPr>
          <w:rFonts w:ascii="Arial" w:eastAsia="Arial" w:hAnsi="Arial" w:cs="Arial"/>
          <w:b/>
        </w:rPr>
        <w:t>High-impact electric transmission line.</w:t>
      </w:r>
      <w:bookmarkEnd w:id="38"/>
      <w:r>
        <w:rPr>
          <w:rFonts w:ascii="Arial" w:eastAsia="Arial" w:hAnsi="Arial" w:cs="Arial"/>
          <w:b/>
        </w:rPr>
        <w:t xml:space="preserve"> </w:t>
      </w:r>
      <w:bookmarkStart w:id="39" w:name="_STATUTE_CONTENT__91c899fe_cb7d_410d_b91"/>
      <w:r>
        <w:rPr>
          <w:rFonts w:ascii="Arial" w:eastAsia="Arial" w:hAnsi="Arial" w:cs="Arial"/>
        </w:rPr>
        <w:t xml:space="preserve"> "High-impact electric transmission line" means a transmission line greater than 50 miles in length </w:t>
      </w:r>
      <w:r>
        <w:rPr>
          <w:rFonts w:ascii="Arial" w:eastAsia="Arial" w:hAnsi="Arial" w:cs="Arial"/>
          <w:strike/>
        </w:rPr>
        <w:t>that is not located in a statutory corridor, as defined in section 122, subsection 1, paragraph F-4, or a petitioned corridor, as defined in section 122, subsection 1, paragraph D-1, and</w:t>
      </w:r>
      <w:r>
        <w:rPr>
          <w:rFonts w:ascii="Arial" w:eastAsia="Arial" w:hAnsi="Arial" w:cs="Arial"/>
        </w:rPr>
        <w:t xml:space="preserve"> that is:</w:t>
      </w:r>
      <w:bookmarkEnd w:id="39"/>
    </w:p>
    <w:p w:rsidR="00421DEF" w:rsidP="00421DEF">
      <w:pPr>
        <w:ind w:left="720"/>
        <w:rPr>
          <w:rFonts w:ascii="Arial" w:eastAsia="Arial" w:hAnsi="Arial" w:cs="Arial"/>
        </w:rPr>
      </w:pPr>
      <w:bookmarkStart w:id="40" w:name="_STATUTE_NUMBER__fb2bdf9a_b964_49c8_92ce"/>
      <w:bookmarkStart w:id="41" w:name="_STATUTE_P__ffd411f5_c7ab_4229_bd49_b9f5"/>
      <w:bookmarkStart w:id="42" w:name="_PAR__11_adec1354_2dcc_4474_b3f0_dca4ee1"/>
      <w:bookmarkEnd w:id="36"/>
      <w:r>
        <w:rPr>
          <w:rFonts w:ascii="Arial" w:eastAsia="Arial" w:hAnsi="Arial" w:cs="Arial"/>
        </w:rPr>
        <w:t>A</w:t>
      </w:r>
      <w:bookmarkEnd w:id="40"/>
      <w:r>
        <w:rPr>
          <w:rFonts w:ascii="Arial" w:eastAsia="Arial" w:hAnsi="Arial" w:cs="Arial"/>
        </w:rPr>
        <w:t xml:space="preserve">.  </w:t>
      </w:r>
      <w:bookmarkStart w:id="43" w:name="_STATUTE_CONTENT__5e867d26_4d79_4e04_adc"/>
      <w:r>
        <w:rPr>
          <w:rFonts w:ascii="Arial" w:eastAsia="Arial" w:hAnsi="Arial" w:cs="Arial"/>
        </w:rPr>
        <w:t>Constructed to transmit direct current electricity; or</w:t>
      </w:r>
      <w:bookmarkEnd w:id="43"/>
    </w:p>
    <w:p w:rsidR="00421DEF" w:rsidP="00421DEF">
      <w:pPr>
        <w:ind w:left="720"/>
        <w:rPr>
          <w:rFonts w:ascii="Arial" w:eastAsia="Arial" w:hAnsi="Arial" w:cs="Arial"/>
        </w:rPr>
      </w:pPr>
      <w:bookmarkStart w:id="44" w:name="_STATUTE_NUMBER__7233934a_abdd_402b_b968"/>
      <w:bookmarkStart w:id="45" w:name="_PAR__12_c24543e0_8bd4_4c91_8884_05e5e55"/>
      <w:bookmarkStart w:id="46" w:name="_STATUTE_P__767a38c1_d007_4437_8f9e_eb46"/>
      <w:bookmarkEnd w:id="41"/>
      <w:bookmarkEnd w:id="42"/>
      <w:r>
        <w:rPr>
          <w:rFonts w:ascii="Arial" w:eastAsia="Arial" w:hAnsi="Arial" w:cs="Arial"/>
        </w:rPr>
        <w:t>B</w:t>
      </w:r>
      <w:bookmarkEnd w:id="44"/>
      <w:r>
        <w:rPr>
          <w:rFonts w:ascii="Arial" w:eastAsia="Arial" w:hAnsi="Arial" w:cs="Arial"/>
        </w:rPr>
        <w:t xml:space="preserve">.  </w:t>
      </w:r>
      <w:bookmarkStart w:id="47" w:name="_STATUTE_CONTENT__2120ff38_c54b_4dcc_a57"/>
      <w:r>
        <w:rPr>
          <w:rFonts w:ascii="Arial" w:eastAsia="Arial" w:hAnsi="Arial" w:cs="Arial"/>
        </w:rPr>
        <w:t>Capable of operating at 345 kilovolts or more and:</w:t>
      </w:r>
      <w:bookmarkEnd w:id="47"/>
    </w:p>
    <w:p w:rsidR="00421DEF" w:rsidP="00421DEF">
      <w:pPr>
        <w:ind w:left="1080"/>
        <w:rPr>
          <w:rFonts w:ascii="Arial" w:eastAsia="Arial" w:hAnsi="Arial" w:cs="Arial"/>
        </w:rPr>
      </w:pPr>
      <w:bookmarkStart w:id="48" w:name="_STATUTE_SP__86222b38_e1a2_4a70_b1c6_9a8"/>
      <w:bookmarkStart w:id="49" w:name="_PAR__13_7ba73cbc_cfa1_4298_9c8f_78edd06"/>
      <w:bookmarkEnd w:id="45"/>
      <w:r>
        <w:rPr>
          <w:rFonts w:ascii="Arial" w:eastAsia="Arial" w:hAnsi="Arial" w:cs="Arial"/>
        </w:rPr>
        <w:t>(</w:t>
      </w:r>
      <w:bookmarkStart w:id="50" w:name="_STATUTE_NUMBER__f284b8d3_87a2_4fe3_8d65"/>
      <w:r>
        <w:rPr>
          <w:rFonts w:ascii="Arial" w:eastAsia="Arial" w:hAnsi="Arial" w:cs="Arial"/>
        </w:rPr>
        <w:t>1</w:t>
      </w:r>
      <w:bookmarkEnd w:id="50"/>
      <w:r>
        <w:rPr>
          <w:rFonts w:ascii="Arial" w:eastAsia="Arial" w:hAnsi="Arial" w:cs="Arial"/>
        </w:rPr>
        <w:t xml:space="preserve">)  </w:t>
      </w:r>
      <w:bookmarkStart w:id="51" w:name="_STATUTE_CONTENT__d4c772b3_c9ad_4813_bcc"/>
      <w:r>
        <w:rPr>
          <w:rFonts w:ascii="Arial" w:eastAsia="Arial" w:hAnsi="Arial" w:cs="Arial"/>
        </w:rPr>
        <w:t>Is not a generator interconnection transmission facility as defined in section 3132, subsection 1-B; and</w:t>
      </w:r>
      <w:bookmarkEnd w:id="51"/>
    </w:p>
    <w:p w:rsidR="00421DEF" w:rsidP="00421DEF">
      <w:pPr>
        <w:ind w:left="1080"/>
        <w:rPr>
          <w:rFonts w:ascii="Arial" w:eastAsia="Arial" w:hAnsi="Arial" w:cs="Arial"/>
        </w:rPr>
      </w:pPr>
      <w:bookmarkStart w:id="52" w:name="_STATUTE_SP__93abb819_029e_4c11_93a7_6e0"/>
      <w:bookmarkStart w:id="53" w:name="_PAR__14_8053b51e_89a1_49df_8af9_ac02814"/>
      <w:bookmarkEnd w:id="48"/>
      <w:bookmarkEnd w:id="49"/>
      <w:r>
        <w:rPr>
          <w:rFonts w:ascii="Arial" w:eastAsia="Arial" w:hAnsi="Arial" w:cs="Arial"/>
        </w:rPr>
        <w:t>(</w:t>
      </w:r>
      <w:bookmarkStart w:id="54" w:name="_STATUTE_NUMBER__811b7df4_e31e_4a6a_92a9"/>
      <w:r>
        <w:rPr>
          <w:rFonts w:ascii="Arial" w:eastAsia="Arial" w:hAnsi="Arial" w:cs="Arial"/>
        </w:rPr>
        <w:t>2</w:t>
      </w:r>
      <w:bookmarkEnd w:id="54"/>
      <w:r>
        <w:rPr>
          <w:rFonts w:ascii="Arial" w:eastAsia="Arial" w:hAnsi="Arial" w:cs="Arial"/>
        </w:rPr>
        <w:t xml:space="preserve">)  </w:t>
      </w:r>
      <w:bookmarkStart w:id="55" w:name="_STATUTE_CONTENT__d71cca09_6101_472d_b01"/>
      <w:r>
        <w:rPr>
          <w:rFonts w:ascii="Arial" w:eastAsia="Arial" w:hAnsi="Arial" w:cs="Arial"/>
        </w:rPr>
        <w:t>Is not constructed primarily to provide electric reliability, as determined by the commission.</w:t>
      </w:r>
      <w:bookmarkEnd w:id="55"/>
    </w:p>
    <w:p w:rsidR="00421DEF" w:rsidP="00421DEF">
      <w:pPr>
        <w:ind w:left="360" w:firstLine="360"/>
        <w:rPr>
          <w:rFonts w:ascii="Arial" w:eastAsia="Arial" w:hAnsi="Arial" w:cs="Arial"/>
        </w:rPr>
      </w:pPr>
      <w:bookmarkStart w:id="56" w:name="_BILL_SECTION_HEADER__bae20b7d_3b6f_4913"/>
      <w:bookmarkStart w:id="57" w:name="_PAR__15_e3827bcd_bcba_4857_9af6_283bd9a"/>
      <w:bookmarkStart w:id="58" w:name="_BILL_SECTION__3ceaf630_e541_441a_b129_2"/>
      <w:bookmarkEnd w:id="33"/>
      <w:bookmarkEnd w:id="37"/>
      <w:bookmarkEnd w:id="46"/>
      <w:bookmarkEnd w:id="52"/>
      <w:bookmarkEnd w:id="53"/>
      <w:r>
        <w:rPr>
          <w:rFonts w:ascii="Arial" w:eastAsia="Arial" w:hAnsi="Arial" w:cs="Arial"/>
          <w:b/>
          <w:sz w:val="24"/>
        </w:rPr>
        <w:t xml:space="preserve">Sec. </w:t>
      </w:r>
      <w:bookmarkStart w:id="59" w:name="_BILL_SECTION_NUMBER__9888ca37_627b_46b2"/>
      <w:r>
        <w:rPr>
          <w:rFonts w:ascii="Arial" w:eastAsia="Arial" w:hAnsi="Arial" w:cs="Arial"/>
          <w:b/>
          <w:sz w:val="24"/>
        </w:rPr>
        <w:t>3</w:t>
      </w:r>
      <w:bookmarkEnd w:id="59"/>
      <w:r>
        <w:rPr>
          <w:rFonts w:ascii="Arial" w:eastAsia="Arial" w:hAnsi="Arial" w:cs="Arial"/>
          <w:b/>
          <w:sz w:val="24"/>
        </w:rPr>
        <w:t>.  35-A MRSA §3132, sub-§6-A,</w:t>
      </w:r>
      <w:r>
        <w:rPr>
          <w:rFonts w:ascii="Arial" w:eastAsia="Arial" w:hAnsi="Arial" w:cs="Arial"/>
        </w:rPr>
        <w:t xml:space="preserve"> as enacted by PL 2009, c. 655, Pt. A, §5, is amended to read:</w:t>
      </w:r>
    </w:p>
    <w:p w:rsidR="00421DEF" w:rsidP="00421DEF">
      <w:pPr>
        <w:ind w:left="360" w:firstLine="360"/>
        <w:rPr>
          <w:rFonts w:ascii="Arial" w:eastAsia="Arial" w:hAnsi="Arial" w:cs="Arial"/>
        </w:rPr>
      </w:pPr>
      <w:bookmarkStart w:id="60" w:name="_STATUTE_NUMBER__d24ad2e1_510f_40cb_97dc"/>
      <w:bookmarkStart w:id="61" w:name="_STATUTE_SS__e6e4293e_922a_4eaf_9e39_3f4"/>
      <w:bookmarkStart w:id="62" w:name="_PAR__16_92327129_fdec_4cf8_b4e2_6e13e55"/>
      <w:bookmarkEnd w:id="56"/>
      <w:bookmarkEnd w:id="57"/>
      <w:r>
        <w:rPr>
          <w:rFonts w:ascii="Arial" w:eastAsia="Arial" w:hAnsi="Arial" w:cs="Arial"/>
          <w:b/>
        </w:rPr>
        <w:t>6-A</w:t>
      </w:r>
      <w:bookmarkEnd w:id="60"/>
      <w:r>
        <w:rPr>
          <w:rFonts w:ascii="Arial" w:eastAsia="Arial" w:hAnsi="Arial" w:cs="Arial"/>
          <w:b/>
        </w:rPr>
        <w:t xml:space="preserve">.  </w:t>
      </w:r>
      <w:bookmarkStart w:id="63" w:name="_STATUTE_HEADNOTE__60c8a41f_a439_4e71_96"/>
      <w:r>
        <w:rPr>
          <w:rFonts w:ascii="Arial" w:eastAsia="Arial" w:hAnsi="Arial" w:cs="Arial"/>
          <w:b/>
        </w:rPr>
        <w:t>High-impact electric transmission line; certificate of public convenience and necessity.</w:t>
      </w:r>
      <w:bookmarkEnd w:id="63"/>
      <w:r>
        <w:rPr>
          <w:rFonts w:ascii="Arial" w:eastAsia="Arial" w:hAnsi="Arial" w:cs="Arial"/>
          <w:b/>
        </w:rPr>
        <w:t xml:space="preserve"> </w:t>
      </w:r>
      <w:bookmarkStart w:id="64" w:name="_STATUTE_CONTENT__f8c1737d_a1ea_4a9d_9f5"/>
      <w:r>
        <w:rPr>
          <w:rFonts w:ascii="Arial" w:eastAsia="Arial" w:hAnsi="Arial" w:cs="Arial"/>
        </w:rPr>
        <w:t xml:space="preserve"> The commission shall evaluate and render a decision on any petition for a certificate of public convenience and necessity for a high-impact transmission line </w:t>
      </w:r>
      <w:r>
        <w:rPr>
          <w:rFonts w:ascii="Arial" w:eastAsia="Arial" w:hAnsi="Arial" w:cs="Arial"/>
          <w:strike/>
        </w:rPr>
        <w:t>in accordance with section 122, subsection 1-D</w:t>
      </w:r>
      <w:r>
        <w:rPr>
          <w:rFonts w:ascii="Arial" w:eastAsia="Arial" w:hAnsi="Arial" w:cs="Arial"/>
        </w:rPr>
        <w:t>.</w:t>
      </w:r>
      <w:bookmarkEnd w:id="64"/>
    </w:p>
    <w:p w:rsidR="00421DEF" w:rsidP="00421DEF">
      <w:pPr>
        <w:ind w:left="360" w:firstLine="360"/>
        <w:rPr>
          <w:rFonts w:ascii="Arial" w:eastAsia="Arial" w:hAnsi="Arial" w:cs="Arial"/>
        </w:rPr>
      </w:pPr>
      <w:bookmarkStart w:id="65" w:name="_BILL_SECTION_HEADER__35ce2533_5d3a_4f53"/>
      <w:bookmarkStart w:id="66" w:name="_PAR__17_05da8848_fc75_450d_8600_1dcf087"/>
      <w:bookmarkStart w:id="67" w:name="_BILL_SECTION__a361f021_62ef_486a_8f67_6"/>
      <w:bookmarkEnd w:id="58"/>
      <w:bookmarkEnd w:id="61"/>
      <w:bookmarkEnd w:id="62"/>
      <w:r>
        <w:rPr>
          <w:rFonts w:ascii="Arial" w:eastAsia="Arial" w:hAnsi="Arial" w:cs="Arial"/>
          <w:b/>
          <w:sz w:val="24"/>
        </w:rPr>
        <w:t xml:space="preserve">Sec. </w:t>
      </w:r>
      <w:bookmarkStart w:id="68" w:name="_BILL_SECTION_NUMBER__d861ab98_15df_4c3e"/>
      <w:r>
        <w:rPr>
          <w:rFonts w:ascii="Arial" w:eastAsia="Arial" w:hAnsi="Arial" w:cs="Arial"/>
          <w:b/>
          <w:sz w:val="24"/>
        </w:rPr>
        <w:t>4</w:t>
      </w:r>
      <w:bookmarkEnd w:id="68"/>
      <w:r>
        <w:rPr>
          <w:rFonts w:ascii="Arial" w:eastAsia="Arial" w:hAnsi="Arial" w:cs="Arial"/>
          <w:b/>
          <w:sz w:val="24"/>
        </w:rPr>
        <w:t>.  35-A MRSA §3132, sub-§6-C</w:t>
      </w:r>
      <w:r>
        <w:rPr>
          <w:rFonts w:ascii="Arial" w:eastAsia="Arial" w:hAnsi="Arial" w:cs="Arial"/>
        </w:rPr>
        <w:t xml:space="preserve"> is enacted to read:</w:t>
      </w:r>
    </w:p>
    <w:p w:rsidR="00421DEF" w:rsidRPr="00DD16D6" w:rsidP="00421DEF">
      <w:pPr>
        <w:ind w:left="360" w:firstLine="360"/>
        <w:rPr>
          <w:rFonts w:ascii="Arial" w:eastAsia="Arial" w:hAnsi="Arial" w:cs="Arial"/>
        </w:rPr>
      </w:pPr>
      <w:bookmarkStart w:id="69" w:name="_STATUTE_NUMBER__b6a9936d_77e8_4eca_b542"/>
      <w:bookmarkStart w:id="70" w:name="_PAR__18_e7dd4c71_01b2_4d67_8956_b16b22d"/>
      <w:bookmarkStart w:id="71" w:name="_STATUTE_SS__d074e819_81e0_4a31_b017_dd0"/>
      <w:bookmarkEnd w:id="65"/>
      <w:bookmarkEnd w:id="66"/>
      <w:r w:rsidRPr="00DD16D6">
        <w:rPr>
          <w:rFonts w:ascii="Arial" w:eastAsia="Arial" w:hAnsi="Arial" w:cs="Arial"/>
          <w:b/>
          <w:szCs w:val="22"/>
          <w:u w:val="single"/>
        </w:rPr>
        <w:t>6-C</w:t>
      </w:r>
      <w:bookmarkEnd w:id="69"/>
      <w:r w:rsidRPr="00DD16D6">
        <w:rPr>
          <w:rFonts w:ascii="Arial" w:eastAsia="Arial" w:hAnsi="Arial" w:cs="Arial"/>
          <w:b/>
          <w:szCs w:val="22"/>
          <w:u w:val="single"/>
        </w:rPr>
        <w:t xml:space="preserve">.  </w:t>
      </w:r>
      <w:bookmarkStart w:id="72" w:name="_STATUTE_HEADNOTE__a63566c5_a83e_4381_b0"/>
      <w:r w:rsidRPr="00DD16D6">
        <w:rPr>
          <w:rFonts w:ascii="Arial" w:eastAsia="Arial" w:hAnsi="Arial" w:cs="Arial"/>
          <w:b/>
          <w:szCs w:val="22"/>
          <w:u w:val="single"/>
        </w:rPr>
        <w:t xml:space="preserve">High-impact electric transmission line; legislative approval. </w:t>
      </w:r>
      <w:bookmarkStart w:id="73" w:name="_STATUTE_CONTENT__82cd87ef_ce4f_4704_ad8"/>
      <w:bookmarkEnd w:id="72"/>
      <w:r w:rsidRPr="00DD16D6">
        <w:rPr>
          <w:rFonts w:ascii="Arial" w:eastAsia="Arial" w:hAnsi="Arial" w:cs="Arial"/>
          <w:szCs w:val="22"/>
          <w:u w:val="single"/>
        </w:rPr>
        <w:t xml:space="preserve"> </w:t>
      </w:r>
      <w:r w:rsidRPr="00DD16D6">
        <w:rPr>
          <w:rFonts w:ascii="Arial" w:eastAsia="Arial" w:hAnsi="Arial" w:cs="Arial"/>
          <w:szCs w:val="22"/>
          <w:u w:val="single"/>
        </w:rPr>
        <w:t xml:space="preserve">In addition to obtaining a certificate of public convenience and necessity, </w:t>
      </w:r>
      <w:r>
        <w:rPr>
          <w:rFonts w:ascii="Arial" w:eastAsia="Arial" w:hAnsi="Arial" w:cs="Arial"/>
          <w:szCs w:val="22"/>
          <w:u w:val="single"/>
        </w:rPr>
        <w:t>a</w:t>
      </w:r>
      <w:r w:rsidRPr="00DD16D6">
        <w:rPr>
          <w:rFonts w:ascii="Arial" w:eastAsia="Arial" w:hAnsi="Arial" w:cs="Arial"/>
          <w:szCs w:val="22"/>
          <w:u w:val="single"/>
        </w:rPr>
        <w:t xml:space="preserve"> high-impact </w:t>
      </w:r>
      <w:r>
        <w:rPr>
          <w:rFonts w:ascii="Arial" w:eastAsia="Arial" w:hAnsi="Arial" w:cs="Arial"/>
          <w:szCs w:val="22"/>
          <w:u w:val="single"/>
        </w:rPr>
        <w:t xml:space="preserve">electric </w:t>
      </w:r>
      <w:r w:rsidRPr="00DD16D6">
        <w:rPr>
          <w:rFonts w:ascii="Arial" w:eastAsia="Arial" w:hAnsi="Arial" w:cs="Arial"/>
          <w:szCs w:val="22"/>
          <w:u w:val="single"/>
        </w:rPr>
        <w:t xml:space="preserve">transmission line may </w:t>
      </w:r>
      <w:r>
        <w:rPr>
          <w:rFonts w:ascii="Arial" w:eastAsia="Arial" w:hAnsi="Arial" w:cs="Arial"/>
          <w:szCs w:val="22"/>
          <w:u w:val="single"/>
        </w:rPr>
        <w:t xml:space="preserve">not </w:t>
      </w:r>
      <w:r w:rsidRPr="00DD16D6">
        <w:rPr>
          <w:rFonts w:ascii="Arial" w:eastAsia="Arial" w:hAnsi="Arial" w:cs="Arial"/>
          <w:szCs w:val="22"/>
          <w:u w:val="single"/>
        </w:rPr>
        <w:t xml:space="preserve">be constructed anywhere in the State without first obtaining </w:t>
      </w:r>
      <w:r>
        <w:rPr>
          <w:rFonts w:ascii="Arial" w:eastAsia="Arial" w:hAnsi="Arial" w:cs="Arial"/>
          <w:szCs w:val="22"/>
          <w:u w:val="single"/>
        </w:rPr>
        <w:t xml:space="preserve">the </w:t>
      </w:r>
      <w:bookmarkStart w:id="74" w:name="_PAR__1_0588b1b3_140a_4cb2_8065_d5be2404"/>
      <w:bookmarkEnd w:id="70"/>
      <w:r>
        <w:rPr>
          <w:rFonts w:ascii="Arial" w:eastAsia="Arial" w:hAnsi="Arial" w:cs="Arial"/>
          <w:szCs w:val="22"/>
          <w:u w:val="single"/>
        </w:rPr>
        <w:t xml:space="preserve">approval of the Legislature, except that any </w:t>
      </w:r>
      <w:r>
        <w:rPr>
          <w:rFonts w:ascii="Arial" w:eastAsia="Arial" w:hAnsi="Arial" w:cs="Arial"/>
          <w:szCs w:val="22"/>
          <w:u w:val="single"/>
        </w:rPr>
        <w:t xml:space="preserve">high-impact electric </w:t>
      </w:r>
      <w:r>
        <w:rPr>
          <w:rFonts w:ascii="Arial" w:eastAsia="Arial" w:hAnsi="Arial" w:cs="Arial"/>
          <w:szCs w:val="22"/>
          <w:u w:val="single"/>
        </w:rPr>
        <w:t>transmission</w:t>
      </w:r>
      <w:r>
        <w:rPr>
          <w:rFonts w:ascii="Arial" w:eastAsia="Arial" w:hAnsi="Arial" w:cs="Arial"/>
          <w:szCs w:val="22"/>
          <w:u w:val="single"/>
        </w:rPr>
        <w:t xml:space="preserve"> line crossing o</w:t>
      </w:r>
      <w:r>
        <w:rPr>
          <w:rFonts w:ascii="Arial" w:eastAsia="Arial" w:hAnsi="Arial" w:cs="Arial"/>
          <w:szCs w:val="22"/>
          <w:u w:val="single"/>
        </w:rPr>
        <w:t>r</w:t>
      </w:r>
      <w:r>
        <w:rPr>
          <w:rFonts w:ascii="Arial" w:eastAsia="Arial" w:hAnsi="Arial" w:cs="Arial"/>
          <w:szCs w:val="22"/>
          <w:u w:val="single"/>
        </w:rPr>
        <w:t xml:space="preserve"> utilizing public lands designated by the L</w:t>
      </w:r>
      <w:r>
        <w:rPr>
          <w:rFonts w:ascii="Arial" w:eastAsia="Arial" w:hAnsi="Arial" w:cs="Arial"/>
          <w:szCs w:val="22"/>
          <w:u w:val="single"/>
        </w:rPr>
        <w:t>egislature pursuant to Title 12, section 598-A</w:t>
      </w:r>
      <w:r>
        <w:rPr>
          <w:rFonts w:ascii="Arial" w:eastAsia="Arial" w:hAnsi="Arial" w:cs="Arial"/>
          <w:szCs w:val="22"/>
          <w:u w:val="single"/>
        </w:rPr>
        <w:t xml:space="preserve"> is deemed to</w:t>
      </w:r>
      <w:r>
        <w:rPr>
          <w:rFonts w:ascii="Arial" w:eastAsia="Arial" w:hAnsi="Arial" w:cs="Arial"/>
          <w:szCs w:val="22"/>
          <w:u w:val="single"/>
        </w:rPr>
        <w:t xml:space="preserve"> substantially alter </w:t>
      </w:r>
      <w:r>
        <w:rPr>
          <w:rFonts w:ascii="Arial" w:eastAsia="Arial" w:hAnsi="Arial" w:cs="Arial"/>
          <w:szCs w:val="22"/>
          <w:u w:val="single"/>
        </w:rPr>
        <w:t>the</w:t>
      </w:r>
      <w:r>
        <w:rPr>
          <w:rFonts w:ascii="Arial" w:eastAsia="Arial" w:hAnsi="Arial" w:cs="Arial"/>
          <w:szCs w:val="22"/>
          <w:u w:val="single"/>
        </w:rPr>
        <w:t xml:space="preserve"> land</w:t>
      </w:r>
      <w:r>
        <w:rPr>
          <w:rFonts w:ascii="Arial" w:eastAsia="Arial" w:hAnsi="Arial" w:cs="Arial"/>
          <w:szCs w:val="22"/>
          <w:u w:val="single"/>
        </w:rPr>
        <w:t xml:space="preserve"> and</w:t>
      </w:r>
      <w:r>
        <w:rPr>
          <w:rFonts w:ascii="Arial" w:eastAsia="Arial" w:hAnsi="Arial" w:cs="Arial"/>
          <w:szCs w:val="22"/>
          <w:u w:val="single"/>
        </w:rPr>
        <w:t xml:space="preserve"> must be approved by the vote of 2/3 of all the members elected to each House of the Legislature</w:t>
      </w:r>
      <w:r w:rsidRPr="00DD16D6">
        <w:rPr>
          <w:rFonts w:ascii="Arial" w:eastAsia="Arial" w:hAnsi="Arial" w:cs="Arial"/>
          <w:szCs w:val="22"/>
          <w:u w:val="single"/>
        </w:rPr>
        <w:t>.</w:t>
      </w:r>
    </w:p>
    <w:p w:rsidR="00421DEF" w:rsidP="00421DEF">
      <w:pPr>
        <w:ind w:left="360" w:firstLine="360"/>
        <w:rPr>
          <w:rFonts w:ascii="Arial" w:eastAsia="Arial" w:hAnsi="Arial" w:cs="Arial"/>
        </w:rPr>
      </w:pPr>
      <w:bookmarkStart w:id="75" w:name="_BILL_SECTION_HEADER__055e2136_d298_42c8"/>
      <w:bookmarkStart w:id="76" w:name="_PAR__2_6b595506_6529_49d7_95e4_fea0ef30"/>
      <w:bookmarkStart w:id="77" w:name="_BILL_SECTION__4e6b7a4b_8a60_4c9c_a05e_b"/>
      <w:bookmarkEnd w:id="67"/>
      <w:bookmarkEnd w:id="71"/>
      <w:bookmarkEnd w:id="73"/>
      <w:bookmarkEnd w:id="74"/>
      <w:r>
        <w:rPr>
          <w:rFonts w:ascii="Arial" w:eastAsia="Arial" w:hAnsi="Arial" w:cs="Arial"/>
          <w:b/>
          <w:sz w:val="24"/>
        </w:rPr>
        <w:t xml:space="preserve">Sec. </w:t>
      </w:r>
      <w:bookmarkStart w:id="78" w:name="_BILL_SECTION_NUMBER__da45a284_8eda_48f1"/>
      <w:r>
        <w:rPr>
          <w:rFonts w:ascii="Arial" w:eastAsia="Arial" w:hAnsi="Arial" w:cs="Arial"/>
          <w:b/>
          <w:sz w:val="24"/>
        </w:rPr>
        <w:t>5</w:t>
      </w:r>
      <w:bookmarkEnd w:id="78"/>
      <w:r>
        <w:rPr>
          <w:rFonts w:ascii="Arial" w:eastAsia="Arial" w:hAnsi="Arial" w:cs="Arial"/>
          <w:b/>
          <w:sz w:val="24"/>
        </w:rPr>
        <w:t>.  35-A MRSA §3132, sub-§6-D</w:t>
      </w:r>
      <w:r>
        <w:rPr>
          <w:rFonts w:ascii="Arial" w:eastAsia="Arial" w:hAnsi="Arial" w:cs="Arial"/>
        </w:rPr>
        <w:t xml:space="preserve"> is enacted to read:</w:t>
      </w:r>
    </w:p>
    <w:p w:rsidR="00421DEF" w:rsidRPr="00DD16D6" w:rsidP="00421DEF">
      <w:pPr>
        <w:ind w:left="360" w:firstLine="360"/>
        <w:rPr>
          <w:rFonts w:ascii="Arial" w:eastAsia="Arial" w:hAnsi="Arial" w:cs="Arial"/>
        </w:rPr>
      </w:pPr>
      <w:bookmarkStart w:id="79" w:name="_STATUTE_NUMBER__b191e3af_9ee1_4b1c_a34e"/>
      <w:bookmarkStart w:id="80" w:name="_STATUTE_SS__14750215_e58a_4fec_9ce3_604"/>
      <w:bookmarkStart w:id="81" w:name="_PAR__3_9d2e490c_316b_4534_935b_59a4fe0c"/>
      <w:bookmarkEnd w:id="75"/>
      <w:bookmarkEnd w:id="76"/>
      <w:r w:rsidRPr="00DD16D6">
        <w:rPr>
          <w:rFonts w:ascii="Arial" w:eastAsia="Arial" w:hAnsi="Arial" w:cs="Arial"/>
          <w:b/>
          <w:szCs w:val="22"/>
          <w:u w:val="single"/>
        </w:rPr>
        <w:t>6-D</w:t>
      </w:r>
      <w:bookmarkEnd w:id="79"/>
      <w:r w:rsidRPr="00DD16D6">
        <w:rPr>
          <w:rFonts w:ascii="Arial" w:eastAsia="Arial" w:hAnsi="Arial" w:cs="Arial"/>
          <w:b/>
          <w:szCs w:val="22"/>
          <w:u w:val="single"/>
        </w:rPr>
        <w:t xml:space="preserve">.  </w:t>
      </w:r>
      <w:bookmarkStart w:id="82" w:name="_STATUTE_HEADNOTE__84f976d3_c41c_49a4_be"/>
      <w:r w:rsidRPr="00DD16D6">
        <w:rPr>
          <w:rFonts w:ascii="Arial" w:eastAsia="Arial" w:hAnsi="Arial" w:cs="Arial"/>
          <w:b/>
          <w:szCs w:val="22"/>
          <w:u w:val="single"/>
        </w:rPr>
        <w:t xml:space="preserve">High-impact electric transmission line; geographic prohibition. </w:t>
      </w:r>
      <w:bookmarkStart w:id="83" w:name="_STATUTE_CONTENT__6f72c5bb_779b_465e_b9b"/>
      <w:bookmarkEnd w:id="82"/>
      <w:r w:rsidRPr="00DD16D6">
        <w:rPr>
          <w:rFonts w:ascii="Arial" w:eastAsia="Arial" w:hAnsi="Arial" w:cs="Arial"/>
          <w:szCs w:val="22"/>
          <w:u w:val="single"/>
        </w:rPr>
        <w:t xml:space="preserve"> </w:t>
      </w:r>
      <w:r w:rsidRPr="00DD16D6">
        <w:rPr>
          <w:rFonts w:ascii="Arial" w:eastAsia="Arial" w:hAnsi="Arial" w:cs="Arial"/>
          <w:szCs w:val="22"/>
          <w:u w:val="single"/>
        </w:rPr>
        <w:t xml:space="preserve">Notwithstanding </w:t>
      </w:r>
      <w:r>
        <w:rPr>
          <w:rFonts w:ascii="Arial" w:eastAsia="Arial" w:hAnsi="Arial" w:cs="Arial"/>
          <w:szCs w:val="22"/>
          <w:u w:val="single"/>
        </w:rPr>
        <w:t>sub</w:t>
      </w:r>
      <w:r w:rsidRPr="00DD16D6">
        <w:rPr>
          <w:rFonts w:ascii="Arial" w:eastAsia="Arial" w:hAnsi="Arial" w:cs="Arial"/>
          <w:szCs w:val="22"/>
          <w:u w:val="single"/>
        </w:rPr>
        <w:t xml:space="preserve">section 6-C, </w:t>
      </w:r>
      <w:r>
        <w:rPr>
          <w:rFonts w:ascii="Arial" w:eastAsia="Arial" w:hAnsi="Arial" w:cs="Arial"/>
          <w:szCs w:val="22"/>
          <w:u w:val="single"/>
        </w:rPr>
        <w:t>a</w:t>
      </w:r>
      <w:r w:rsidRPr="00DD16D6">
        <w:rPr>
          <w:rFonts w:ascii="Arial" w:eastAsia="Arial" w:hAnsi="Arial" w:cs="Arial"/>
          <w:szCs w:val="22"/>
          <w:u w:val="single"/>
        </w:rPr>
        <w:t xml:space="preserve"> high-impact </w:t>
      </w:r>
      <w:r>
        <w:rPr>
          <w:rFonts w:ascii="Arial" w:eastAsia="Arial" w:hAnsi="Arial" w:cs="Arial"/>
          <w:szCs w:val="22"/>
          <w:u w:val="single"/>
        </w:rPr>
        <w:t xml:space="preserve">electric </w:t>
      </w:r>
      <w:r w:rsidRPr="00DD16D6">
        <w:rPr>
          <w:rFonts w:ascii="Arial" w:eastAsia="Arial" w:hAnsi="Arial" w:cs="Arial"/>
          <w:szCs w:val="22"/>
          <w:u w:val="single"/>
        </w:rPr>
        <w:t xml:space="preserve">transmission line may </w:t>
      </w:r>
      <w:r>
        <w:rPr>
          <w:rFonts w:ascii="Arial" w:eastAsia="Arial" w:hAnsi="Arial" w:cs="Arial"/>
          <w:szCs w:val="22"/>
          <w:u w:val="single"/>
        </w:rPr>
        <w:t xml:space="preserve">not </w:t>
      </w:r>
      <w:r w:rsidRPr="00DD16D6">
        <w:rPr>
          <w:rFonts w:ascii="Arial" w:eastAsia="Arial" w:hAnsi="Arial" w:cs="Arial"/>
          <w:szCs w:val="22"/>
          <w:u w:val="single"/>
        </w:rPr>
        <w:t xml:space="preserve">be constructed in the Upper Kennebec Region. </w:t>
      </w:r>
      <w:r>
        <w:rPr>
          <w:rFonts w:ascii="Arial" w:eastAsia="Arial" w:hAnsi="Arial" w:cs="Arial"/>
          <w:szCs w:val="22"/>
          <w:u w:val="single"/>
        </w:rPr>
        <w:t xml:space="preserve"> </w:t>
      </w:r>
      <w:r w:rsidRPr="00DD16D6">
        <w:rPr>
          <w:rFonts w:ascii="Arial" w:eastAsia="Arial" w:hAnsi="Arial" w:cs="Arial"/>
          <w:szCs w:val="22"/>
          <w:u w:val="single"/>
        </w:rPr>
        <w:t xml:space="preserve">For the purpose of this </w:t>
      </w:r>
      <w:r>
        <w:rPr>
          <w:rFonts w:ascii="Arial" w:eastAsia="Arial" w:hAnsi="Arial" w:cs="Arial"/>
          <w:szCs w:val="22"/>
          <w:u w:val="single"/>
        </w:rPr>
        <w:t>sub</w:t>
      </w:r>
      <w:r w:rsidRPr="00DD16D6">
        <w:rPr>
          <w:rFonts w:ascii="Arial" w:eastAsia="Arial" w:hAnsi="Arial" w:cs="Arial"/>
          <w:szCs w:val="22"/>
          <w:u w:val="single"/>
        </w:rPr>
        <w:t xml:space="preserve">section, </w:t>
      </w:r>
      <w:r w:rsidRPr="00DD16D6">
        <w:rPr>
          <w:rFonts w:ascii="Arial" w:eastAsia="Arial" w:hAnsi="Arial" w:cs="Arial"/>
          <w:szCs w:val="22"/>
          <w:u w:val="single"/>
        </w:rPr>
        <w:t>"</w:t>
      </w:r>
      <w:r w:rsidRPr="00DD16D6">
        <w:rPr>
          <w:rFonts w:ascii="Arial" w:eastAsia="Arial" w:hAnsi="Arial" w:cs="Arial"/>
          <w:szCs w:val="22"/>
          <w:u w:val="single"/>
        </w:rPr>
        <w:t>Upper Kennebec Region</w:t>
      </w:r>
      <w:r w:rsidRPr="00DD16D6">
        <w:rPr>
          <w:rFonts w:ascii="Arial" w:eastAsia="Arial" w:hAnsi="Arial" w:cs="Arial"/>
          <w:szCs w:val="22"/>
          <w:u w:val="single"/>
        </w:rPr>
        <w:t>"</w:t>
      </w:r>
      <w:r w:rsidRPr="00DD16D6">
        <w:rPr>
          <w:rFonts w:ascii="Arial" w:eastAsia="Arial" w:hAnsi="Arial" w:cs="Arial"/>
          <w:szCs w:val="22"/>
          <w:u w:val="single"/>
        </w:rPr>
        <w:t xml:space="preserve"> </w:t>
      </w:r>
      <w:r w:rsidRPr="00DD16D6">
        <w:rPr>
          <w:rFonts w:ascii="Arial" w:eastAsia="Arial" w:hAnsi="Arial" w:cs="Arial"/>
          <w:szCs w:val="22"/>
          <w:u w:val="single"/>
        </w:rPr>
        <w:t xml:space="preserve">means the approximately 43,300 acres of land located between the </w:t>
      </w:r>
      <w:r>
        <w:rPr>
          <w:rFonts w:ascii="Arial" w:eastAsia="Arial" w:hAnsi="Arial" w:cs="Arial"/>
          <w:szCs w:val="22"/>
          <w:u w:val="single"/>
        </w:rPr>
        <w:t>T</w:t>
      </w:r>
      <w:r w:rsidRPr="00DD16D6">
        <w:rPr>
          <w:rFonts w:ascii="Arial" w:eastAsia="Arial" w:hAnsi="Arial" w:cs="Arial"/>
          <w:szCs w:val="22"/>
          <w:u w:val="single"/>
        </w:rPr>
        <w:t xml:space="preserve">own of Bingham and Wyman </w:t>
      </w:r>
      <w:r>
        <w:rPr>
          <w:rFonts w:ascii="Arial" w:eastAsia="Arial" w:hAnsi="Arial" w:cs="Arial"/>
          <w:szCs w:val="22"/>
          <w:u w:val="single"/>
        </w:rPr>
        <w:t>L</w:t>
      </w:r>
      <w:r w:rsidRPr="00DD16D6">
        <w:rPr>
          <w:rFonts w:ascii="Arial" w:eastAsia="Arial" w:hAnsi="Arial" w:cs="Arial"/>
          <w:szCs w:val="22"/>
          <w:u w:val="single"/>
        </w:rPr>
        <w:t>ake, north along the Old Canada Road</w:t>
      </w:r>
      <w:r>
        <w:rPr>
          <w:rFonts w:ascii="Arial" w:eastAsia="Arial" w:hAnsi="Arial" w:cs="Arial"/>
          <w:szCs w:val="22"/>
          <w:u w:val="single"/>
        </w:rPr>
        <w:t>,</w:t>
      </w:r>
      <w:r>
        <w:rPr>
          <w:rFonts w:ascii="Arial" w:eastAsia="Arial" w:hAnsi="Arial" w:cs="Arial"/>
          <w:szCs w:val="22"/>
          <w:u w:val="single"/>
        </w:rPr>
        <w:t xml:space="preserve"> Route 201, </w:t>
      </w:r>
      <w:r>
        <w:rPr>
          <w:rFonts w:ascii="Arial" w:eastAsia="Arial" w:hAnsi="Arial" w:cs="Arial"/>
          <w:szCs w:val="22"/>
          <w:u w:val="single"/>
        </w:rPr>
        <w:t>t</w:t>
      </w:r>
      <w:r w:rsidRPr="00DD16D6">
        <w:rPr>
          <w:rFonts w:ascii="Arial" w:eastAsia="Arial" w:hAnsi="Arial" w:cs="Arial"/>
          <w:szCs w:val="22"/>
          <w:u w:val="single"/>
        </w:rPr>
        <w:t xml:space="preserve">o the Canadian border, and eastward from </w:t>
      </w:r>
      <w:r>
        <w:rPr>
          <w:rFonts w:ascii="Arial" w:eastAsia="Arial" w:hAnsi="Arial" w:cs="Arial"/>
          <w:szCs w:val="22"/>
          <w:u w:val="single"/>
        </w:rPr>
        <w:t xml:space="preserve">the Town of </w:t>
      </w:r>
      <w:r w:rsidRPr="00DD16D6">
        <w:rPr>
          <w:rFonts w:ascii="Arial" w:eastAsia="Arial" w:hAnsi="Arial" w:cs="Arial"/>
          <w:szCs w:val="22"/>
          <w:u w:val="single"/>
        </w:rPr>
        <w:t xml:space="preserve">Jackman to encompass Long Pond and westward to the Canadian border, in Somerset </w:t>
      </w:r>
      <w:r>
        <w:rPr>
          <w:rFonts w:ascii="Arial" w:eastAsia="Arial" w:hAnsi="Arial" w:cs="Arial"/>
          <w:szCs w:val="22"/>
          <w:u w:val="single"/>
        </w:rPr>
        <w:t xml:space="preserve">County </w:t>
      </w:r>
      <w:r w:rsidRPr="00DD16D6">
        <w:rPr>
          <w:rFonts w:ascii="Arial" w:eastAsia="Arial" w:hAnsi="Arial" w:cs="Arial"/>
          <w:szCs w:val="22"/>
          <w:u w:val="single"/>
        </w:rPr>
        <w:t>and Franklin Count</w:t>
      </w:r>
      <w:r>
        <w:rPr>
          <w:rFonts w:ascii="Arial" w:eastAsia="Arial" w:hAnsi="Arial" w:cs="Arial"/>
          <w:szCs w:val="22"/>
          <w:u w:val="single"/>
        </w:rPr>
        <w:t>y</w:t>
      </w:r>
      <w:r w:rsidRPr="00DD16D6">
        <w:rPr>
          <w:rFonts w:ascii="Arial" w:eastAsia="Arial" w:hAnsi="Arial" w:cs="Arial"/>
          <w:szCs w:val="22"/>
          <w:u w:val="single"/>
        </w:rPr>
        <w:t>.</w:t>
      </w:r>
    </w:p>
    <w:p w:rsidR="00421DEF" w:rsidP="00421DEF">
      <w:pPr>
        <w:ind w:left="360" w:firstLine="360"/>
        <w:rPr>
          <w:rFonts w:ascii="Arial" w:eastAsia="Arial" w:hAnsi="Arial" w:cs="Arial"/>
        </w:rPr>
      </w:pPr>
      <w:bookmarkStart w:id="84" w:name="_BILL_SECTION_HEADER__c8b2f026_b1dd_44f8"/>
      <w:bookmarkStart w:id="85" w:name="_PAR__4_ec03b89c_320f_42e9_ba95_856f8b88"/>
      <w:bookmarkStart w:id="86" w:name="_BILL_SECTION__64207610_7a3c_475c_a865_8"/>
      <w:bookmarkEnd w:id="77"/>
      <w:bookmarkEnd w:id="80"/>
      <w:bookmarkEnd w:id="81"/>
      <w:bookmarkEnd w:id="83"/>
      <w:r>
        <w:rPr>
          <w:rFonts w:ascii="Arial" w:eastAsia="Arial" w:hAnsi="Arial" w:cs="Arial"/>
          <w:b/>
          <w:sz w:val="24"/>
        </w:rPr>
        <w:t xml:space="preserve">Sec. </w:t>
      </w:r>
      <w:bookmarkStart w:id="87" w:name="_BILL_SECTION_NUMBER__6ce1656f_7a83_477e"/>
      <w:r>
        <w:rPr>
          <w:rFonts w:ascii="Arial" w:eastAsia="Arial" w:hAnsi="Arial" w:cs="Arial"/>
          <w:b/>
          <w:sz w:val="24"/>
        </w:rPr>
        <w:t>6</w:t>
      </w:r>
      <w:bookmarkEnd w:id="87"/>
      <w:r>
        <w:rPr>
          <w:rFonts w:ascii="Arial" w:eastAsia="Arial" w:hAnsi="Arial" w:cs="Arial"/>
          <w:b/>
          <w:sz w:val="24"/>
        </w:rPr>
        <w:t>.  35-A MRSA §3132, sub-§6-E</w:t>
      </w:r>
      <w:r>
        <w:rPr>
          <w:rFonts w:ascii="Arial" w:eastAsia="Arial" w:hAnsi="Arial" w:cs="Arial"/>
        </w:rPr>
        <w:t xml:space="preserve"> is enacted to read:</w:t>
      </w:r>
    </w:p>
    <w:p w:rsidR="00000000" w:rsidP="00421DEF">
      <w:pPr>
        <w:ind w:left="360" w:firstLine="360"/>
        <w:rPr>
          <w:rFonts w:ascii="Arial" w:eastAsia="Arial" w:hAnsi="Arial" w:cs="Arial"/>
        </w:rPr>
      </w:pPr>
      <w:bookmarkStart w:id="88" w:name="_STATUTE_NUMBER__f2ba7460_a9cf_4359_895b"/>
      <w:bookmarkStart w:id="89" w:name="_STATUTE_SS__a4c2ad05_2271_4521_8190_217"/>
      <w:bookmarkStart w:id="90" w:name="_PAR__5_de2cd762_3065_474c_b18f_7964d4a7"/>
      <w:bookmarkEnd w:id="84"/>
      <w:bookmarkEnd w:id="85"/>
      <w:r w:rsidRPr="00DD16D6">
        <w:rPr>
          <w:rFonts w:ascii="Arial" w:eastAsia="Arial" w:hAnsi="Arial" w:cs="Arial"/>
          <w:b/>
          <w:szCs w:val="22"/>
          <w:u w:val="single"/>
        </w:rPr>
        <w:t>6-E</w:t>
      </w:r>
      <w:bookmarkEnd w:id="88"/>
      <w:r w:rsidRPr="00DD16D6">
        <w:rPr>
          <w:rFonts w:ascii="Arial" w:eastAsia="Arial" w:hAnsi="Arial" w:cs="Arial"/>
          <w:b/>
          <w:szCs w:val="22"/>
          <w:u w:val="single"/>
        </w:rPr>
        <w:t xml:space="preserve">.  </w:t>
      </w:r>
      <w:bookmarkStart w:id="91" w:name="_STATUTE_HEADNOTE__e225fa1d_e4ef_443b_a5"/>
      <w:r w:rsidRPr="00DD16D6">
        <w:rPr>
          <w:rFonts w:ascii="Arial" w:eastAsia="Arial" w:hAnsi="Arial" w:cs="Arial"/>
          <w:b/>
          <w:szCs w:val="22"/>
          <w:u w:val="single"/>
        </w:rPr>
        <w:t xml:space="preserve">Retroactivity. </w:t>
      </w:r>
      <w:bookmarkStart w:id="92" w:name="_STATUTE_CONTENT__667a603a_7325_45f1_ae7"/>
      <w:bookmarkEnd w:id="91"/>
      <w:r w:rsidRPr="00DD16D6">
        <w:rPr>
          <w:rFonts w:ascii="Arial" w:eastAsia="Arial" w:hAnsi="Arial" w:cs="Arial"/>
          <w:szCs w:val="22"/>
          <w:u w:val="single"/>
        </w:rPr>
        <w:t xml:space="preserve"> </w:t>
      </w:r>
      <w:r w:rsidRPr="00DD16D6">
        <w:rPr>
          <w:rFonts w:ascii="Arial" w:eastAsia="Arial" w:hAnsi="Arial" w:cs="Arial"/>
          <w:szCs w:val="22"/>
          <w:u w:val="single"/>
        </w:rPr>
        <w:t xml:space="preserve">Notwithstanding </w:t>
      </w:r>
      <w:r>
        <w:rPr>
          <w:rFonts w:ascii="Arial" w:eastAsia="Arial" w:hAnsi="Arial" w:cs="Arial"/>
          <w:szCs w:val="22"/>
          <w:u w:val="single"/>
        </w:rPr>
        <w:t xml:space="preserve">Title </w:t>
      </w:r>
      <w:r w:rsidRPr="00DD16D6">
        <w:rPr>
          <w:rFonts w:ascii="Arial" w:eastAsia="Arial" w:hAnsi="Arial" w:cs="Arial"/>
          <w:szCs w:val="22"/>
          <w:u w:val="single"/>
        </w:rPr>
        <w:t>1</w:t>
      </w:r>
      <w:r>
        <w:rPr>
          <w:rFonts w:ascii="Arial" w:eastAsia="Arial" w:hAnsi="Arial" w:cs="Arial"/>
          <w:szCs w:val="22"/>
          <w:u w:val="single"/>
        </w:rPr>
        <w:t xml:space="preserve">, section </w:t>
      </w:r>
      <w:r w:rsidRPr="00DD16D6">
        <w:rPr>
          <w:rFonts w:ascii="Arial" w:eastAsia="Arial" w:hAnsi="Arial" w:cs="Arial"/>
          <w:szCs w:val="22"/>
          <w:u w:val="single"/>
        </w:rPr>
        <w:t xml:space="preserve">302 or any other </w:t>
      </w:r>
      <w:r>
        <w:rPr>
          <w:rFonts w:ascii="Arial" w:eastAsia="Arial" w:hAnsi="Arial" w:cs="Arial"/>
          <w:szCs w:val="22"/>
          <w:u w:val="single"/>
        </w:rPr>
        <w:t xml:space="preserve">provision of </w:t>
      </w:r>
      <w:r w:rsidRPr="00DD16D6">
        <w:rPr>
          <w:rFonts w:ascii="Arial" w:eastAsia="Arial" w:hAnsi="Arial" w:cs="Arial"/>
          <w:szCs w:val="22"/>
          <w:u w:val="single"/>
        </w:rPr>
        <w:t>law</w:t>
      </w:r>
      <w:r>
        <w:rPr>
          <w:rFonts w:ascii="Arial" w:eastAsia="Arial" w:hAnsi="Arial" w:cs="Arial"/>
          <w:szCs w:val="22"/>
          <w:u w:val="single"/>
        </w:rPr>
        <w:t xml:space="preserve"> to the contrary</w:t>
      </w:r>
      <w:r w:rsidRPr="00DD16D6">
        <w:rPr>
          <w:rFonts w:ascii="Arial" w:eastAsia="Arial" w:hAnsi="Arial" w:cs="Arial"/>
          <w:szCs w:val="22"/>
          <w:u w:val="single"/>
        </w:rPr>
        <w:t xml:space="preserve">, </w:t>
      </w:r>
      <w:r>
        <w:rPr>
          <w:rFonts w:ascii="Arial" w:eastAsia="Arial" w:hAnsi="Arial" w:cs="Arial"/>
          <w:szCs w:val="22"/>
          <w:u w:val="single"/>
        </w:rPr>
        <w:t>sub</w:t>
      </w:r>
      <w:r w:rsidRPr="00DD16D6">
        <w:rPr>
          <w:rFonts w:ascii="Arial" w:eastAsia="Arial" w:hAnsi="Arial" w:cs="Arial"/>
          <w:szCs w:val="22"/>
          <w:u w:val="single"/>
        </w:rPr>
        <w:t>sections 6-C and 6-D a</w:t>
      </w:r>
      <w:r>
        <w:rPr>
          <w:rFonts w:ascii="Arial" w:eastAsia="Arial" w:hAnsi="Arial" w:cs="Arial"/>
          <w:szCs w:val="22"/>
          <w:u w:val="single"/>
        </w:rPr>
        <w:t>pply</w:t>
      </w:r>
      <w:r w:rsidRPr="00DD16D6">
        <w:rPr>
          <w:rFonts w:ascii="Arial" w:eastAsia="Arial" w:hAnsi="Arial" w:cs="Arial"/>
          <w:szCs w:val="22"/>
          <w:u w:val="single"/>
        </w:rPr>
        <w:t xml:space="preserve"> retroactiv</w:t>
      </w:r>
      <w:r>
        <w:rPr>
          <w:rFonts w:ascii="Arial" w:eastAsia="Arial" w:hAnsi="Arial" w:cs="Arial"/>
          <w:szCs w:val="22"/>
          <w:u w:val="single"/>
        </w:rPr>
        <w:t>ely</w:t>
      </w:r>
      <w:r w:rsidRPr="00DD16D6">
        <w:rPr>
          <w:rFonts w:ascii="Arial" w:eastAsia="Arial" w:hAnsi="Arial" w:cs="Arial"/>
          <w:szCs w:val="22"/>
          <w:u w:val="single"/>
        </w:rPr>
        <w:t xml:space="preserve"> to September 16, 2020 and apply to any high-impact electric transmission line the construction of which had not commenced as of that date.</w:t>
      </w:r>
      <w:bookmarkEnd w:id="2"/>
      <w:bookmarkEnd w:id="6"/>
      <w:bookmarkEnd w:id="86"/>
      <w:bookmarkEnd w:id="89"/>
      <w:bookmarkEnd w:id="90"/>
      <w:bookmarkEnd w:id="9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LR2030,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Legislative Approval of Certain Transmission Lines, Require Legislative Approval of Certain Transmission Lines and Facilities and Other Projects on Public Reserved Lands and Prohibit the Construction of Certain Transmission Lines in the Upper Kennebec Region</w:t>
    </w:r>
  </w:p>
  <w:p>
    <w:pPr>
      <w:suppressLineNumbers/>
      <w:spacing w:before="0" w:after="0"/>
      <w:jc w:val="center"/>
      <w:rPr>
        <w:rFonts w:ascii="Arial" w:eastAsia="Arial" w:hAnsi="Arial" w:cs="Arial"/>
      </w:rPr>
    </w:pPr>
    <w:r>
      <w:rPr>
        <w:rFonts w:ascii="Arial" w:eastAsia="Arial" w:hAnsi="Arial" w:cs="Arial"/>
        <w:sz w:val="22"/>
      </w:rPr>
      <w:t>L.D. 1295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1DEF"/>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16D6"/>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