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Resolve, Regarding Reimbursement for Providing Inpatient Care to Individuals with Acute Mental Health Care Needs</w:t>
      </w:r>
    </w:p>
    <w:p>
      <w:pPr>
        <w:spacing w:before="100" w:after="100" w:line="360" w:lineRule="auto"/>
        <w:ind w:left="360"/>
        <w:jc w:val="both"/>
        <w:rPr>
          <w:rFonts w:ascii="Arial" w:eastAsia="Arial" w:hAnsi="Arial" w:cs="Arial"/>
          <w:b/>
          <w:szCs w:val="20"/>
        </w:rPr>
      </w:pP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STATE OF MAINE</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IN THE YEAR OF OUR LORD</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Two Thousand Twenty-one</w:t>
      </w:r>
    </w:p>
    <w:p>
      <w:pPr>
        <w:keepNext/>
        <w:spacing w:before="100" w:after="100" w:line="24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spacing w:after="100" w:line="360" w:lineRule="auto"/>
        <w:ind w:left="360"/>
        <w:jc w:val="center"/>
        <w:rPr>
          <w:rFonts w:ascii="Arial" w:eastAsia="Arial" w:hAnsi="Arial" w:cs="Arial"/>
          <w:b/>
          <w:caps/>
          <w:sz w:val="24"/>
          <w:szCs w:val="20"/>
        </w:rPr>
      </w:pPr>
      <w:r>
        <w:rPr>
          <w:rFonts w:ascii="Arial" w:eastAsia="Arial" w:hAnsi="Arial" w:cs="Arial"/>
          <w:b/>
          <w:caps/>
          <w:sz w:val="24"/>
          <w:szCs w:val="20"/>
        </w:rPr>
        <w:t>H.P. 1086 - L.D. 1470</w:t>
      </w:r>
    </w:p>
    <w:p>
      <w:pPr>
        <w:spacing w:before="240" w:after="240" w:line="240" w:lineRule="auto"/>
        <w:ind w:left="360"/>
        <w:jc w:val="center"/>
        <w:rPr>
          <w:rFonts w:ascii="Arial" w:eastAsia="Arial" w:hAnsi="Arial" w:cs="Arial"/>
          <w:b/>
          <w:bCs/>
          <w:kern w:val="28"/>
          <w:sz w:val="24"/>
          <w:szCs w:val="32"/>
        </w:rPr>
      </w:pPr>
      <w:r>
        <w:rPr>
          <w:rFonts w:ascii="Arial" w:eastAsia="Arial" w:hAnsi="Arial" w:cs="Arial"/>
          <w:b/>
          <w:bCs/>
          <w:kern w:val="28"/>
          <w:sz w:val="24"/>
          <w:szCs w:val="32"/>
        </w:rPr>
        <w:t>Resolve, Regarding Reimbursement for Providing Inpatient Care to Individuals with Acute Mental Health Care Needs</w:t>
      </w:r>
    </w:p>
    <w:p w:rsidR="00447DD7" w:rsidP="00447DD7">
      <w:pPr>
        <w:ind w:left="360" w:firstLine="360"/>
        <w:rPr>
          <w:rFonts w:ascii="Arial" w:eastAsia="Arial" w:hAnsi="Arial" w:cs="Arial"/>
        </w:rPr>
      </w:pPr>
      <w:bookmarkStart w:id="0" w:name="_BILL_SECTION_UNALLOCATED__9b2690af_13c7"/>
      <w:bookmarkStart w:id="1" w:name="_PAR__1_fa738a0f_bdf8_47b6_8209_e5979333"/>
      <w:bookmarkStart w:id="2" w:name="_DOC_BODY_CONTENT__62ef504c_91fb_4587_a6"/>
      <w:bookmarkStart w:id="3" w:name="_DOC_BODY_CONTAINER__310f6e48_61d0_4356_"/>
      <w:r>
        <w:rPr>
          <w:rFonts w:ascii="Arial" w:eastAsia="Arial" w:hAnsi="Arial" w:cs="Arial"/>
          <w:b/>
          <w:sz w:val="24"/>
        </w:rPr>
        <w:t xml:space="preserve">Sec. </w:t>
      </w:r>
      <w:bookmarkStart w:id="4" w:name="_BILL_SECTION_NUMBER__58301656_7126_4364"/>
      <w:r>
        <w:rPr>
          <w:rFonts w:ascii="Arial" w:eastAsia="Arial" w:hAnsi="Arial" w:cs="Arial"/>
          <w:b/>
          <w:sz w:val="24"/>
        </w:rPr>
        <w:t>1</w:t>
      </w:r>
      <w:bookmarkEnd w:id="4"/>
      <w:r w:rsidRPr="00275CD3">
        <w:rPr>
          <w:rFonts w:ascii="Arial" w:eastAsia="Arial" w:hAnsi="Arial" w:cs="Arial"/>
          <w:b/>
          <w:sz w:val="24"/>
          <w:szCs w:val="24"/>
        </w:rPr>
        <w:t>.  Department of Health and Human Services to increase MaineCare rates.  Resolved:</w:t>
      </w:r>
      <w:r w:rsidRPr="00275CD3">
        <w:rPr>
          <w:rFonts w:ascii="Arial" w:eastAsia="Arial" w:hAnsi="Arial" w:cs="Arial"/>
          <w:sz w:val="24"/>
          <w:szCs w:val="24"/>
        </w:rPr>
        <w:t xml:space="preserve"> </w:t>
      </w:r>
      <w:r w:rsidRPr="00275CD3">
        <w:rPr>
          <w:rFonts w:ascii="Arial" w:eastAsia="Arial" w:hAnsi="Arial" w:cs="Arial"/>
        </w:rPr>
        <w:t>That the Department of Health and Human Services shall amend its rule Chapter 101: MaineCare Benefits Manual, Chapter III, Section 45.03 to provide reimbursement for patients discharged from Southern Maine Health Care</w:t>
      </w:r>
      <w:r>
        <w:rPr>
          <w:rFonts w:ascii="Arial" w:eastAsia="Arial" w:hAnsi="Arial" w:cs="Arial"/>
        </w:rPr>
        <w:t>'</w:t>
      </w:r>
      <w:r w:rsidRPr="00275CD3">
        <w:rPr>
          <w:rFonts w:ascii="Arial" w:eastAsia="Arial" w:hAnsi="Arial" w:cs="Arial"/>
        </w:rPr>
        <w:t xml:space="preserve">s psychiatric inpatient unit in the amount of $10,166 per distinct discharge.  The department shall amend its rule pursuant to this section in time to be submitted to the United States Department of Health and Human Services, Centers for Medicare and Medicaid Services with an effective date of the reimbursement required by this section of </w:t>
      </w:r>
      <w:bookmarkStart w:id="5" w:name="_ENGROSSING_REV__7401d78c_e444_45a8_9044"/>
      <w:bookmarkStart w:id="6" w:name="_REV__b61fa541_4e12_44e7_8c24_5dbca24203"/>
      <w:bookmarkStart w:id="7" w:name="_PROCESSED_CHANGE__8d67af21_7b67_465a_ae"/>
      <w:bookmarkStart w:id="8" w:name="_PROCESSED_CHANGE__494091b9_62a1_4254_9a"/>
      <w:bookmarkEnd w:id="5"/>
      <w:r>
        <w:rPr>
          <w:rFonts w:ascii="Arial" w:eastAsia="Arial" w:hAnsi="Arial" w:cs="Arial"/>
        </w:rPr>
        <w:t xml:space="preserve"> </w:t>
      </w:r>
      <w:r>
        <w:rPr>
          <w:rFonts w:ascii="Arial" w:eastAsia="Arial" w:hAnsi="Arial" w:cs="Arial"/>
        </w:rPr>
        <w:t xml:space="preserve">October 1, 2021.  </w:t>
      </w:r>
      <w:r w:rsidRPr="007D20C6">
        <w:rPr>
          <w:rFonts w:ascii="Arial" w:eastAsia="Arial" w:hAnsi="Arial" w:cs="Arial"/>
        </w:rPr>
        <w:t>Rules adopted pursuant to this section are routine technical rules as defined in</w:t>
      </w:r>
      <w:r>
        <w:rPr>
          <w:rFonts w:ascii="Arial" w:eastAsia="Arial" w:hAnsi="Arial" w:cs="Arial"/>
        </w:rPr>
        <w:t xml:space="preserve"> the Maine Revised Statutes,</w:t>
      </w:r>
      <w:r w:rsidRPr="007D20C6">
        <w:rPr>
          <w:rFonts w:ascii="Arial" w:eastAsia="Arial" w:hAnsi="Arial" w:cs="Arial"/>
        </w:rPr>
        <w:t xml:space="preserve"> Title 5, chapter 375, subchapter 2-A.</w:t>
      </w:r>
      <w:bookmarkEnd w:id="6"/>
      <w:bookmarkEnd w:id="7"/>
      <w:bookmarkEnd w:id="8"/>
    </w:p>
    <w:p w:rsidR="00447DD7" w:rsidP="00447DD7">
      <w:pPr>
        <w:ind w:left="360" w:firstLine="360"/>
        <w:rPr>
          <w:rFonts w:ascii="Arial" w:eastAsia="Arial" w:hAnsi="Arial" w:cs="Arial"/>
        </w:rPr>
      </w:pPr>
      <w:bookmarkStart w:id="9" w:name="_BILL_SECTION_UNALLOCATED__94146ed5_a190"/>
      <w:bookmarkStart w:id="10" w:name="_PAR__2_5c314e16_2b8c_4ba4_a4f3_866a0ff9"/>
      <w:bookmarkEnd w:id="0"/>
      <w:bookmarkEnd w:id="1"/>
      <w:r>
        <w:rPr>
          <w:rFonts w:ascii="Arial" w:eastAsia="Arial" w:hAnsi="Arial" w:cs="Arial"/>
          <w:b/>
          <w:sz w:val="24"/>
        </w:rPr>
        <w:t xml:space="preserve">Sec. </w:t>
      </w:r>
      <w:bookmarkStart w:id="11" w:name="_BILL_SECTION_NUMBER__f974d4a0_cce3_49f2"/>
      <w:r>
        <w:rPr>
          <w:rFonts w:ascii="Arial" w:eastAsia="Arial" w:hAnsi="Arial" w:cs="Arial"/>
          <w:b/>
          <w:sz w:val="24"/>
        </w:rPr>
        <w:t>2</w:t>
      </w:r>
      <w:bookmarkEnd w:id="11"/>
      <w:r w:rsidRPr="00275CD3">
        <w:rPr>
          <w:rFonts w:ascii="Arial" w:eastAsia="Arial" w:hAnsi="Arial" w:cs="Arial"/>
          <w:b/>
          <w:sz w:val="24"/>
          <w:szCs w:val="24"/>
        </w:rPr>
        <w:t>.  Department of Health and Human Services to seek available funds for uninsured patients.  Resolved:</w:t>
      </w:r>
      <w:r w:rsidRPr="00275CD3">
        <w:rPr>
          <w:rFonts w:ascii="Arial" w:eastAsia="Arial" w:hAnsi="Arial" w:cs="Arial"/>
        </w:rPr>
        <w:t xml:space="preserve"> That the Department of Health and Human Services shall seek and apply for available federal funds or funds from any other sources to pay the costs of providing inpatient psychiatric care to uninsured patients who are discharged from acute care hospitals.</w:t>
      </w:r>
    </w:p>
    <w:p w:rsidR="00447DD7" w:rsidP="00447DD7">
      <w:pPr>
        <w:ind w:left="360" w:firstLine="360"/>
        <w:rPr>
          <w:rFonts w:ascii="Arial" w:eastAsia="Arial" w:hAnsi="Arial" w:cs="Arial"/>
        </w:rPr>
      </w:pPr>
      <w:bookmarkStart w:id="12" w:name="_BILL_SECTION_UNALLOCATED__98318b58_9923"/>
      <w:bookmarkStart w:id="13" w:name="_PAR__3_9e50332a_542d_49ac_8e7a_6756b087"/>
      <w:bookmarkEnd w:id="9"/>
      <w:bookmarkEnd w:id="10"/>
      <w:r>
        <w:rPr>
          <w:rFonts w:ascii="Arial" w:eastAsia="Arial" w:hAnsi="Arial" w:cs="Arial"/>
          <w:b/>
          <w:sz w:val="24"/>
        </w:rPr>
        <w:t xml:space="preserve">Sec. </w:t>
      </w:r>
      <w:bookmarkStart w:id="14" w:name="_BILL_SECTION_NUMBER__9220160e_3a7a_4e18"/>
      <w:r>
        <w:rPr>
          <w:rFonts w:ascii="Arial" w:eastAsia="Arial" w:hAnsi="Arial" w:cs="Arial"/>
          <w:b/>
          <w:sz w:val="24"/>
        </w:rPr>
        <w:t>3</w:t>
      </w:r>
      <w:bookmarkEnd w:id="14"/>
      <w:r w:rsidRPr="00275CD3">
        <w:rPr>
          <w:rFonts w:ascii="Arial" w:eastAsia="Arial" w:hAnsi="Arial" w:cs="Arial"/>
          <w:b/>
          <w:sz w:val="24"/>
          <w:szCs w:val="24"/>
        </w:rPr>
        <w:t>.  Report.  Resolved:</w:t>
      </w:r>
      <w:r w:rsidRPr="00275CD3">
        <w:rPr>
          <w:rFonts w:ascii="Arial" w:eastAsia="Arial" w:hAnsi="Arial" w:cs="Arial"/>
        </w:rPr>
        <w:t xml:space="preserve"> That, no later than </w:t>
      </w:r>
      <w:r>
        <w:rPr>
          <w:rFonts w:ascii="Arial" w:eastAsia="Arial" w:hAnsi="Arial" w:cs="Arial"/>
        </w:rPr>
        <w:t>December 1</w:t>
      </w:r>
      <w:r w:rsidRPr="00275CD3">
        <w:rPr>
          <w:rFonts w:ascii="Arial" w:eastAsia="Arial" w:hAnsi="Arial" w:cs="Arial"/>
        </w:rPr>
        <w:t>, 202</w:t>
      </w:r>
      <w:r>
        <w:rPr>
          <w:rFonts w:ascii="Arial" w:eastAsia="Arial" w:hAnsi="Arial" w:cs="Arial"/>
        </w:rPr>
        <w:t>1</w:t>
      </w:r>
      <w:r w:rsidRPr="00275CD3">
        <w:rPr>
          <w:rFonts w:ascii="Arial" w:eastAsia="Arial" w:hAnsi="Arial" w:cs="Arial"/>
        </w:rPr>
        <w:t>, the Department of Health and Human Services shall submit a report to the Joint Standing Committee on Health and Human Services regarding the progress the department has made in developing a reimbursement rate to provide inpatient psychiatric care under its rule Chapter 101: MaineCare Benefits Manual, Chapter III, Section 45.03.</w:t>
      </w:r>
      <w:r>
        <w:rPr>
          <w:rFonts w:ascii="Arial" w:eastAsia="Arial" w:hAnsi="Arial" w:cs="Arial"/>
        </w:rPr>
        <w:t xml:space="preserve"> </w:t>
      </w:r>
      <w:r w:rsidRPr="00275CD3">
        <w:rPr>
          <w:rFonts w:ascii="Arial" w:eastAsia="Arial" w:hAnsi="Arial" w:cs="Arial"/>
        </w:rPr>
        <w:t xml:space="preserve"> The joint standing committee is authorized to report out legislation related to the report to the Second Regular Session of the 130th Legislature.</w:t>
      </w:r>
    </w:p>
    <w:p w:rsidR="00447DD7" w:rsidP="00447DD7">
      <w:pPr>
        <w:ind w:left="360" w:firstLine="360"/>
        <w:rPr>
          <w:rFonts w:ascii="Arial" w:eastAsia="Arial" w:hAnsi="Arial" w:cs="Arial"/>
        </w:rPr>
      </w:pPr>
      <w:bookmarkStart w:id="15" w:name="_APPROP_SECTION__f9615e6b_2246_426a_b9cd"/>
      <w:bookmarkStart w:id="16" w:name="_INSTRUCTION__1567efd5_1897_4e09_8dbf_cd"/>
      <w:bookmarkEnd w:id="12"/>
      <w:bookmarkEnd w:id="13"/>
      <w:r>
        <w:rPr>
          <w:rFonts w:ascii="Arial" w:eastAsia="Arial" w:hAnsi="Arial" w:cs="Arial"/>
          <w:b/>
          <w:sz w:val="24"/>
        </w:rPr>
        <w:t xml:space="preserve">Sec. </w:t>
      </w:r>
      <w:bookmarkStart w:id="17" w:name="_BILL_SECTION_NUMBER__0b0a2266_05fd_4355"/>
      <w:r>
        <w:rPr>
          <w:rFonts w:ascii="Arial" w:eastAsia="Arial" w:hAnsi="Arial" w:cs="Arial"/>
          <w:b/>
          <w:sz w:val="24"/>
        </w:rPr>
        <w:t>4</w:t>
      </w:r>
      <w:bookmarkEnd w:id="17"/>
      <w:r>
        <w:rPr>
          <w:rFonts w:ascii="Arial" w:eastAsia="Arial" w:hAnsi="Arial" w:cs="Arial"/>
          <w:b/>
          <w:sz w:val="24"/>
        </w:rPr>
        <w:t>.  Appropriations and allocations.  Resolved:</w:t>
      </w:r>
      <w:r>
        <w:rPr>
          <w:rFonts w:ascii="Arial" w:eastAsia="Arial" w:hAnsi="Arial" w:cs="Arial"/>
        </w:rPr>
        <w:t>  That the following appropriations and allocations are made.</w:t>
      </w:r>
    </w:p>
    <w:p w:rsidR="00447DD7" w:rsidP="00447DD7">
      <w:pPr>
        <w:pStyle w:val="BPSParagraphLeftAlign"/>
        <w:suppressAutoHyphens/>
        <w:ind w:left="360"/>
        <w:rPr>
          <w:rFonts w:ascii="Arial" w:eastAsia="Arial" w:hAnsi="Arial" w:cs="Arial"/>
        </w:rPr>
      </w:pPr>
      <w:r>
        <w:rPr>
          <w:rFonts w:ascii="Arial" w:eastAsia="Arial" w:hAnsi="Arial" w:cs="Arial"/>
          <w:b/>
        </w:rPr>
        <w:t>HEALTH AND HUMAN SERVICES, DEPARTMENT OF</w:t>
      </w:r>
    </w:p>
    <w:p w:rsidR="00447DD7" w:rsidP="00447DD7">
      <w:pPr>
        <w:pStyle w:val="BPSParagraphLeftAlign"/>
        <w:suppressAutoHyphens/>
        <w:ind w:left="360"/>
        <w:rPr>
          <w:rFonts w:ascii="Arial" w:eastAsia="Arial" w:hAnsi="Arial" w:cs="Arial"/>
        </w:rPr>
      </w:pPr>
      <w:r>
        <w:rPr>
          <w:rFonts w:ascii="Arial" w:eastAsia="Arial" w:hAnsi="Arial" w:cs="Arial"/>
          <w:b/>
        </w:rPr>
        <w:t>Medical Care - Payments to Providers 0147</w:t>
      </w:r>
    </w:p>
    <w:p w:rsidR="00447DD7" w:rsidP="00447DD7">
      <w:pPr>
        <w:ind w:left="360"/>
        <w:rPr>
          <w:rFonts w:ascii="Arial" w:eastAsia="Arial" w:hAnsi="Arial" w:cs="Arial"/>
        </w:rPr>
      </w:pPr>
      <w:r>
        <w:rPr>
          <w:rFonts w:ascii="Arial" w:eastAsia="Arial" w:hAnsi="Arial" w:cs="Arial"/>
        </w:rPr>
        <w:t>Initiative: Provides appropriation and allocation to the Department of Health and Human Services to amend its rule Chapter 101: MaineCare Benefits Manual, Chapter III, Section 45.03 to provide reimbursement for patients discharged from Southern Maine Health Care's psychiatric inpatient unit in the amount of $10,166 per distinct discharge.</w:t>
      </w:r>
    </w:p>
    <w:tbl>
      <w:tblPr>
        <w:tblStyle w:val="BPSTable"/>
        <w:tblW w:w="0" w:type="auto"/>
        <w:tblInd w:w="360" w:type="dxa"/>
        <w:tblCellMar>
          <w:left w:w="0" w:type="dxa"/>
          <w:right w:w="0" w:type="dxa"/>
        </w:tblCellMar>
        <w:tblLook w:val="04A0"/>
      </w:tblPr>
      <w:tblGrid>
        <w:gridCol w:w="5009"/>
        <w:gridCol w:w="1463"/>
        <w:gridCol w:w="1463"/>
      </w:tblGrid>
      <w:tr w:rsidTr="00872B89">
        <w:tblPrEx>
          <w:tblW w:w="0" w:type="auto"/>
          <w:tblInd w:w="360" w:type="dxa"/>
          <w:tblCellMar>
            <w:left w:w="0" w:type="dxa"/>
            <w:right w:w="0" w:type="dxa"/>
          </w:tblCellMar>
          <w:tblLook w:val="04A0"/>
        </w:tblPrEx>
        <w:tc>
          <w:tcPr>
            <w:tcW w:w="5069" w:type="dxa"/>
          </w:tcPr>
          <w:p w:rsidR="00447DD7" w:rsidP="00872B89">
            <w:pPr>
              <w:rPr>
                <w:rFonts w:ascii="Arial" w:eastAsia="Arial" w:hAnsi="Arial" w:cs="Arial"/>
              </w:rPr>
            </w:pPr>
            <w:r>
              <w:rPr>
                <w:rFonts w:ascii="Arial" w:eastAsia="Arial" w:hAnsi="Arial" w:cs="Arial"/>
                <w:b/>
              </w:rPr>
              <w:t>GENERAL FUND</w:t>
            </w:r>
          </w:p>
        </w:tc>
        <w:tc>
          <w:tcPr>
            <w:tcW w:w="1469" w:type="dxa"/>
          </w:tcPr>
          <w:p w:rsidR="00447DD7" w:rsidP="00872B89">
            <w:pPr>
              <w:jc w:val="right"/>
              <w:rPr>
                <w:rFonts w:ascii="Arial" w:eastAsia="Arial" w:hAnsi="Arial" w:cs="Arial"/>
              </w:rPr>
            </w:pPr>
            <w:r>
              <w:rPr>
                <w:rFonts w:ascii="Arial" w:eastAsia="Arial" w:hAnsi="Arial" w:cs="Arial"/>
                <w:b/>
              </w:rPr>
              <w:t>2021-22</w:t>
            </w:r>
          </w:p>
        </w:tc>
        <w:tc>
          <w:tcPr>
            <w:tcW w:w="1469" w:type="dxa"/>
          </w:tcPr>
          <w:p w:rsidR="00447DD7" w:rsidP="00872B89">
            <w:pPr>
              <w:jc w:val="right"/>
              <w:rPr>
                <w:rFonts w:ascii="Arial" w:eastAsia="Arial" w:hAnsi="Arial" w:cs="Arial"/>
              </w:rPr>
            </w:pPr>
            <w:r>
              <w:rPr>
                <w:rFonts w:ascii="Arial" w:eastAsia="Arial" w:hAnsi="Arial" w:cs="Arial"/>
                <w:b/>
              </w:rPr>
              <w:t>2022-23</w:t>
            </w:r>
          </w:p>
        </w:tc>
      </w:tr>
      <w:tr w:rsidTr="00872B89">
        <w:tblPrEx>
          <w:tblW w:w="0" w:type="auto"/>
          <w:tblInd w:w="360" w:type="dxa"/>
          <w:tblCellMar>
            <w:left w:w="0" w:type="dxa"/>
            <w:right w:w="0" w:type="dxa"/>
          </w:tblCellMar>
          <w:tblLook w:val="04A0"/>
        </w:tblPrEx>
        <w:tc>
          <w:tcPr>
            <w:tcW w:w="5069" w:type="dxa"/>
          </w:tcPr>
          <w:p w:rsidR="00447DD7" w:rsidP="00872B89">
            <w:pPr>
              <w:ind w:left="180"/>
              <w:rPr>
                <w:rFonts w:ascii="Arial" w:eastAsia="Arial" w:hAnsi="Arial" w:cs="Arial"/>
              </w:rPr>
            </w:pPr>
            <w:r>
              <w:rPr>
                <w:rFonts w:ascii="Arial" w:eastAsia="Arial" w:hAnsi="Arial" w:cs="Arial"/>
              </w:rPr>
              <w:t>All Other</w:t>
            </w:r>
          </w:p>
        </w:tc>
        <w:tc>
          <w:tcPr>
            <w:tcW w:w="1469" w:type="dxa"/>
          </w:tcPr>
          <w:p w:rsidR="00447DD7" w:rsidP="00872B89">
            <w:pPr>
              <w:jc w:val="right"/>
              <w:rPr>
                <w:rFonts w:ascii="Arial" w:eastAsia="Arial" w:hAnsi="Arial" w:cs="Arial"/>
              </w:rPr>
            </w:pPr>
            <w:r>
              <w:rPr>
                <w:rFonts w:ascii="Arial" w:eastAsia="Arial" w:hAnsi="Arial" w:cs="Arial"/>
              </w:rPr>
              <w:t>$96,177</w:t>
            </w:r>
          </w:p>
        </w:tc>
        <w:tc>
          <w:tcPr>
            <w:tcW w:w="1469" w:type="dxa"/>
          </w:tcPr>
          <w:p w:rsidR="00447DD7" w:rsidP="00872B89">
            <w:pPr>
              <w:jc w:val="right"/>
              <w:rPr>
                <w:rFonts w:ascii="Arial" w:eastAsia="Arial" w:hAnsi="Arial" w:cs="Arial"/>
              </w:rPr>
            </w:pPr>
            <w:r>
              <w:rPr>
                <w:rFonts w:ascii="Arial" w:eastAsia="Arial" w:hAnsi="Arial" w:cs="Arial"/>
              </w:rPr>
              <w:t>$136,805</w:t>
            </w:r>
          </w:p>
        </w:tc>
      </w:tr>
      <w:tr w:rsidTr="00872B89">
        <w:tblPrEx>
          <w:tblW w:w="0" w:type="auto"/>
          <w:tblInd w:w="360" w:type="dxa"/>
          <w:tblCellMar>
            <w:left w:w="0" w:type="dxa"/>
            <w:right w:w="0" w:type="dxa"/>
          </w:tblCellMar>
          <w:tblLook w:val="04A0"/>
        </w:tblPrEx>
        <w:tc>
          <w:tcPr>
            <w:tcW w:w="5069" w:type="dxa"/>
          </w:tcPr>
          <w:p w:rsidR="00447DD7" w:rsidP="00872B89">
            <w:pPr>
              <w:rPr>
                <w:rFonts w:ascii="Arial" w:eastAsia="Arial" w:hAnsi="Arial" w:cs="Arial"/>
              </w:rPr>
            </w:pPr>
            <w:r>
              <w:rPr>
                <w:rFonts w:ascii="Arial" w:eastAsia="Arial" w:hAnsi="Arial" w:cs="Arial"/>
              </w:rPr>
              <w:t xml:space="preserve"> </w:t>
            </w:r>
          </w:p>
        </w:tc>
        <w:tc>
          <w:tcPr>
            <w:tcW w:w="1469" w:type="dxa"/>
          </w:tcPr>
          <w:p w:rsidR="00447DD7" w:rsidP="00872B89">
            <w:pPr>
              <w:jc w:val="right"/>
              <w:rPr>
                <w:rFonts w:ascii="Arial" w:eastAsia="Arial" w:hAnsi="Arial" w:cs="Arial"/>
              </w:rPr>
            </w:pPr>
            <w:r>
              <w:rPr>
                <w:rFonts w:ascii="Arial" w:eastAsia="Arial" w:hAnsi="Arial" w:cs="Arial"/>
              </w:rPr>
              <w:t>__________</w:t>
            </w:r>
          </w:p>
        </w:tc>
        <w:tc>
          <w:tcPr>
            <w:tcW w:w="1469" w:type="dxa"/>
          </w:tcPr>
          <w:p w:rsidR="00447DD7" w:rsidP="00872B89">
            <w:pPr>
              <w:jc w:val="right"/>
              <w:rPr>
                <w:rFonts w:ascii="Arial" w:eastAsia="Arial" w:hAnsi="Arial" w:cs="Arial"/>
              </w:rPr>
            </w:pPr>
            <w:r>
              <w:rPr>
                <w:rFonts w:ascii="Arial" w:eastAsia="Arial" w:hAnsi="Arial" w:cs="Arial"/>
              </w:rPr>
              <w:t>__________</w:t>
            </w:r>
          </w:p>
        </w:tc>
      </w:tr>
      <w:tr w:rsidTr="00872B89">
        <w:tblPrEx>
          <w:tblW w:w="0" w:type="auto"/>
          <w:tblInd w:w="360" w:type="dxa"/>
          <w:tblCellMar>
            <w:left w:w="0" w:type="dxa"/>
            <w:right w:w="0" w:type="dxa"/>
          </w:tblCellMar>
          <w:tblLook w:val="04A0"/>
        </w:tblPrEx>
        <w:tc>
          <w:tcPr>
            <w:tcW w:w="5069" w:type="dxa"/>
          </w:tcPr>
          <w:p w:rsidR="00447DD7" w:rsidP="00872B89">
            <w:pPr>
              <w:rPr>
                <w:rFonts w:ascii="Arial" w:eastAsia="Arial" w:hAnsi="Arial" w:cs="Arial"/>
              </w:rPr>
            </w:pPr>
            <w:r>
              <w:rPr>
                <w:rFonts w:ascii="Arial" w:eastAsia="Arial" w:hAnsi="Arial" w:cs="Arial"/>
              </w:rPr>
              <w:t>GENERAL FUND TOTAL</w:t>
            </w:r>
          </w:p>
        </w:tc>
        <w:tc>
          <w:tcPr>
            <w:tcW w:w="1469" w:type="dxa"/>
          </w:tcPr>
          <w:p w:rsidR="00447DD7" w:rsidP="00872B89">
            <w:pPr>
              <w:jc w:val="right"/>
              <w:rPr>
                <w:rFonts w:ascii="Arial" w:eastAsia="Arial" w:hAnsi="Arial" w:cs="Arial"/>
              </w:rPr>
            </w:pPr>
            <w:r>
              <w:rPr>
                <w:rFonts w:ascii="Arial" w:eastAsia="Arial" w:hAnsi="Arial" w:cs="Arial"/>
              </w:rPr>
              <w:t>$96,177</w:t>
            </w:r>
          </w:p>
        </w:tc>
        <w:tc>
          <w:tcPr>
            <w:tcW w:w="1469" w:type="dxa"/>
          </w:tcPr>
          <w:p w:rsidR="00447DD7" w:rsidP="00872B89">
            <w:pPr>
              <w:jc w:val="right"/>
              <w:rPr>
                <w:rFonts w:ascii="Arial" w:eastAsia="Arial" w:hAnsi="Arial" w:cs="Arial"/>
              </w:rPr>
            </w:pPr>
            <w:r>
              <w:rPr>
                <w:rFonts w:ascii="Arial" w:eastAsia="Arial" w:hAnsi="Arial" w:cs="Arial"/>
              </w:rPr>
              <w:t>$136,805</w:t>
            </w:r>
          </w:p>
        </w:tc>
      </w:tr>
    </w:tbl>
    <w:p w:rsidR="00447DD7" w:rsidP="00447DD7">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872B89">
        <w:tblPrEx>
          <w:tblW w:w="0" w:type="auto"/>
          <w:tblInd w:w="360" w:type="dxa"/>
          <w:tblCellMar>
            <w:left w:w="0" w:type="dxa"/>
            <w:right w:w="0" w:type="dxa"/>
          </w:tblCellMar>
          <w:tblLook w:val="04A0"/>
        </w:tblPrEx>
        <w:tc>
          <w:tcPr>
            <w:tcW w:w="5069" w:type="dxa"/>
          </w:tcPr>
          <w:p w:rsidR="00447DD7" w:rsidP="00872B89">
            <w:pPr>
              <w:rPr>
                <w:rFonts w:ascii="Arial" w:eastAsia="Arial" w:hAnsi="Arial" w:cs="Arial"/>
              </w:rPr>
            </w:pPr>
            <w:r>
              <w:rPr>
                <w:rFonts w:ascii="Arial" w:eastAsia="Arial" w:hAnsi="Arial" w:cs="Arial"/>
                <w:b/>
              </w:rPr>
              <w:t>FEDERAL EXPENDITURES FUND</w:t>
            </w:r>
          </w:p>
        </w:tc>
        <w:tc>
          <w:tcPr>
            <w:tcW w:w="1469" w:type="dxa"/>
          </w:tcPr>
          <w:p w:rsidR="00447DD7" w:rsidP="00872B89">
            <w:pPr>
              <w:jc w:val="right"/>
              <w:rPr>
                <w:rFonts w:ascii="Arial" w:eastAsia="Arial" w:hAnsi="Arial" w:cs="Arial"/>
              </w:rPr>
            </w:pPr>
            <w:r>
              <w:rPr>
                <w:rFonts w:ascii="Arial" w:eastAsia="Arial" w:hAnsi="Arial" w:cs="Arial"/>
                <w:b/>
              </w:rPr>
              <w:t>2021-22</w:t>
            </w:r>
          </w:p>
        </w:tc>
        <w:tc>
          <w:tcPr>
            <w:tcW w:w="1469" w:type="dxa"/>
          </w:tcPr>
          <w:p w:rsidR="00447DD7" w:rsidP="00872B89">
            <w:pPr>
              <w:jc w:val="right"/>
              <w:rPr>
                <w:rFonts w:ascii="Arial" w:eastAsia="Arial" w:hAnsi="Arial" w:cs="Arial"/>
              </w:rPr>
            </w:pPr>
            <w:r>
              <w:rPr>
                <w:rFonts w:ascii="Arial" w:eastAsia="Arial" w:hAnsi="Arial" w:cs="Arial"/>
                <w:b/>
              </w:rPr>
              <w:t>2022-23</w:t>
            </w:r>
          </w:p>
        </w:tc>
      </w:tr>
      <w:tr w:rsidTr="00872B89">
        <w:tblPrEx>
          <w:tblW w:w="0" w:type="auto"/>
          <w:tblInd w:w="360" w:type="dxa"/>
          <w:tblCellMar>
            <w:left w:w="0" w:type="dxa"/>
            <w:right w:w="0" w:type="dxa"/>
          </w:tblCellMar>
          <w:tblLook w:val="04A0"/>
        </w:tblPrEx>
        <w:tc>
          <w:tcPr>
            <w:tcW w:w="5069" w:type="dxa"/>
          </w:tcPr>
          <w:p w:rsidR="00447DD7" w:rsidP="00872B89">
            <w:pPr>
              <w:ind w:left="180"/>
              <w:rPr>
                <w:rFonts w:ascii="Arial" w:eastAsia="Arial" w:hAnsi="Arial" w:cs="Arial"/>
              </w:rPr>
            </w:pPr>
            <w:r>
              <w:rPr>
                <w:rFonts w:ascii="Arial" w:eastAsia="Arial" w:hAnsi="Arial" w:cs="Arial"/>
              </w:rPr>
              <w:t>All Other</w:t>
            </w:r>
          </w:p>
        </w:tc>
        <w:tc>
          <w:tcPr>
            <w:tcW w:w="1469" w:type="dxa"/>
          </w:tcPr>
          <w:p w:rsidR="00447DD7" w:rsidP="00872B89">
            <w:pPr>
              <w:jc w:val="right"/>
              <w:rPr>
                <w:rFonts w:ascii="Arial" w:eastAsia="Arial" w:hAnsi="Arial" w:cs="Arial"/>
              </w:rPr>
            </w:pPr>
            <w:r>
              <w:rPr>
                <w:rFonts w:ascii="Arial" w:eastAsia="Arial" w:hAnsi="Arial" w:cs="Arial"/>
              </w:rPr>
              <w:t>$409,802</w:t>
            </w:r>
          </w:p>
        </w:tc>
        <w:tc>
          <w:tcPr>
            <w:tcW w:w="1469" w:type="dxa"/>
          </w:tcPr>
          <w:p w:rsidR="00447DD7" w:rsidP="00872B89">
            <w:pPr>
              <w:jc w:val="right"/>
              <w:rPr>
                <w:rFonts w:ascii="Arial" w:eastAsia="Arial" w:hAnsi="Arial" w:cs="Arial"/>
              </w:rPr>
            </w:pPr>
            <w:r>
              <w:rPr>
                <w:rFonts w:ascii="Arial" w:eastAsia="Arial" w:hAnsi="Arial" w:cs="Arial"/>
              </w:rPr>
              <w:t>$537,833</w:t>
            </w:r>
          </w:p>
        </w:tc>
      </w:tr>
      <w:tr w:rsidTr="00872B89">
        <w:tblPrEx>
          <w:tblW w:w="0" w:type="auto"/>
          <w:tblInd w:w="360" w:type="dxa"/>
          <w:tblCellMar>
            <w:left w:w="0" w:type="dxa"/>
            <w:right w:w="0" w:type="dxa"/>
          </w:tblCellMar>
          <w:tblLook w:val="04A0"/>
        </w:tblPrEx>
        <w:tc>
          <w:tcPr>
            <w:tcW w:w="5069" w:type="dxa"/>
          </w:tcPr>
          <w:p w:rsidR="00447DD7" w:rsidP="00872B89">
            <w:pPr>
              <w:rPr>
                <w:rFonts w:ascii="Arial" w:eastAsia="Arial" w:hAnsi="Arial" w:cs="Arial"/>
              </w:rPr>
            </w:pPr>
            <w:r>
              <w:rPr>
                <w:rFonts w:ascii="Arial" w:eastAsia="Arial" w:hAnsi="Arial" w:cs="Arial"/>
              </w:rPr>
              <w:t xml:space="preserve"> </w:t>
            </w:r>
          </w:p>
        </w:tc>
        <w:tc>
          <w:tcPr>
            <w:tcW w:w="1469" w:type="dxa"/>
          </w:tcPr>
          <w:p w:rsidR="00447DD7" w:rsidP="00872B89">
            <w:pPr>
              <w:jc w:val="right"/>
              <w:rPr>
                <w:rFonts w:ascii="Arial" w:eastAsia="Arial" w:hAnsi="Arial" w:cs="Arial"/>
              </w:rPr>
            </w:pPr>
            <w:r>
              <w:rPr>
                <w:rFonts w:ascii="Arial" w:eastAsia="Arial" w:hAnsi="Arial" w:cs="Arial"/>
              </w:rPr>
              <w:t>__________</w:t>
            </w:r>
          </w:p>
        </w:tc>
        <w:tc>
          <w:tcPr>
            <w:tcW w:w="1469" w:type="dxa"/>
          </w:tcPr>
          <w:p w:rsidR="00447DD7" w:rsidP="00872B89">
            <w:pPr>
              <w:jc w:val="right"/>
              <w:rPr>
                <w:rFonts w:ascii="Arial" w:eastAsia="Arial" w:hAnsi="Arial" w:cs="Arial"/>
              </w:rPr>
            </w:pPr>
            <w:r>
              <w:rPr>
                <w:rFonts w:ascii="Arial" w:eastAsia="Arial" w:hAnsi="Arial" w:cs="Arial"/>
              </w:rPr>
              <w:t>__________</w:t>
            </w:r>
          </w:p>
        </w:tc>
      </w:tr>
      <w:tr w:rsidTr="00872B89">
        <w:tblPrEx>
          <w:tblW w:w="0" w:type="auto"/>
          <w:tblInd w:w="360" w:type="dxa"/>
          <w:tblCellMar>
            <w:left w:w="0" w:type="dxa"/>
            <w:right w:w="0" w:type="dxa"/>
          </w:tblCellMar>
          <w:tblLook w:val="04A0"/>
        </w:tblPrEx>
        <w:tc>
          <w:tcPr>
            <w:tcW w:w="5069" w:type="dxa"/>
          </w:tcPr>
          <w:p w:rsidR="00447DD7" w:rsidP="00872B89">
            <w:pPr>
              <w:rPr>
                <w:rFonts w:ascii="Arial" w:eastAsia="Arial" w:hAnsi="Arial" w:cs="Arial"/>
              </w:rPr>
            </w:pPr>
            <w:r>
              <w:rPr>
                <w:rFonts w:ascii="Arial" w:eastAsia="Arial" w:hAnsi="Arial" w:cs="Arial"/>
              </w:rPr>
              <w:t>FEDERAL EXPENDITURES FUND TOTAL</w:t>
            </w:r>
          </w:p>
        </w:tc>
        <w:tc>
          <w:tcPr>
            <w:tcW w:w="1469" w:type="dxa"/>
          </w:tcPr>
          <w:p w:rsidR="00447DD7" w:rsidP="00872B89">
            <w:pPr>
              <w:jc w:val="right"/>
              <w:rPr>
                <w:rFonts w:ascii="Arial" w:eastAsia="Arial" w:hAnsi="Arial" w:cs="Arial"/>
              </w:rPr>
            </w:pPr>
            <w:r>
              <w:rPr>
                <w:rFonts w:ascii="Arial" w:eastAsia="Arial" w:hAnsi="Arial" w:cs="Arial"/>
              </w:rPr>
              <w:t>$409,802</w:t>
            </w:r>
          </w:p>
        </w:tc>
        <w:tc>
          <w:tcPr>
            <w:tcW w:w="1469" w:type="dxa"/>
          </w:tcPr>
          <w:p w:rsidR="00447DD7" w:rsidP="00872B89">
            <w:pPr>
              <w:jc w:val="right"/>
              <w:rPr>
                <w:rFonts w:ascii="Arial" w:eastAsia="Arial" w:hAnsi="Arial" w:cs="Arial"/>
              </w:rPr>
            </w:pPr>
            <w:r>
              <w:rPr>
                <w:rFonts w:ascii="Arial" w:eastAsia="Arial" w:hAnsi="Arial" w:cs="Arial"/>
              </w:rPr>
              <w:t>$537,833</w:t>
            </w:r>
          </w:p>
        </w:tc>
      </w:tr>
      <w:bookmarkEnd w:id="2"/>
      <w:bookmarkEnd w:id="3"/>
      <w:bookmarkEnd w:id="15"/>
      <w:bookmarkEnd w:id="16"/>
    </w:tbl>
    <w:p w:rsidR="00000000">
      <w:pPr>
        <w:rPr>
          <w:rFonts w:ascii="Arial" w:eastAsia="Arial" w:hAnsi="Arial" w:cs="Arial"/>
        </w:rPr>
      </w:pPr>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LR1035, item 3 - 130th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Resolve, Regarding Reimbursement for Providing Inpatient Care to Individuals with Acute Mental Health Care Needs</w:t>
    </w:r>
  </w:p>
  <w:p>
    <w:pPr>
      <w:suppressLineNumbers/>
      <w:spacing w:before="0" w:after="0"/>
      <w:jc w:val="center"/>
      <w:rPr>
        <w:rFonts w:ascii="Arial" w:eastAsia="Arial" w:hAnsi="Arial" w:cs="Arial"/>
      </w:rPr>
    </w:pPr>
    <w:r>
      <w:rPr>
        <w:rFonts w:ascii="Arial" w:eastAsia="Arial" w:hAnsi="Arial" w:cs="Arial"/>
        <w:sz w:val="22"/>
      </w:rPr>
      <w:t>L.D. 1470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75CD3"/>
    <w:rsid w:val="002A3C2A"/>
    <w:rsid w:val="002A3D55"/>
    <w:rsid w:val="002D357F"/>
    <w:rsid w:val="00361F3E"/>
    <w:rsid w:val="003D0121"/>
    <w:rsid w:val="003F2563"/>
    <w:rsid w:val="003F315D"/>
    <w:rsid w:val="00417176"/>
    <w:rsid w:val="00424146"/>
    <w:rsid w:val="00447DD7"/>
    <w:rsid w:val="004A4378"/>
    <w:rsid w:val="005500BF"/>
    <w:rsid w:val="005568B1"/>
    <w:rsid w:val="00564135"/>
    <w:rsid w:val="00574B75"/>
    <w:rsid w:val="00610E2A"/>
    <w:rsid w:val="00641982"/>
    <w:rsid w:val="006714D5"/>
    <w:rsid w:val="00695EDF"/>
    <w:rsid w:val="006D40C3"/>
    <w:rsid w:val="007D20C6"/>
    <w:rsid w:val="007D72C8"/>
    <w:rsid w:val="007F3B1E"/>
    <w:rsid w:val="00801F19"/>
    <w:rsid w:val="00806421"/>
    <w:rsid w:val="00872B89"/>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