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Remove Barriers to Accessory Dwelling Units and Allow Accessory Dwelling Units where Single-family Houses Are Allowed</w:t>
      </w:r>
    </w:p>
    <w:p w:rsidR="0027348D" w:rsidP="0027348D">
      <w:pPr>
        <w:spacing w:after="240"/>
        <w:ind w:left="360"/>
        <w:jc w:val="right"/>
        <w:rPr>
          <w:rFonts w:ascii="Arial" w:eastAsia="Arial" w:hAnsi="Arial" w:cs="Arial"/>
          <w:caps/>
        </w:rPr>
      </w:pPr>
      <w:bookmarkStart w:id="0" w:name="_AMEND_TITLE__d57f0c74_d67b_4cfa_885b_a0"/>
      <w:bookmarkStart w:id="1" w:name="_PAGE__1_272fd507_5995_4170_a787_3811f11"/>
      <w:bookmarkStart w:id="2" w:name="_PAR__2_7e39c93f_60db_40d3_84ea_fd12596b"/>
      <w:r>
        <w:rPr>
          <w:rFonts w:ascii="Arial" w:eastAsia="Arial" w:hAnsi="Arial" w:cs="Arial"/>
          <w:caps/>
        </w:rPr>
        <w:t>L.D. 1312</w:t>
      </w:r>
    </w:p>
    <w:p w:rsidR="0027348D" w:rsidP="0027348D">
      <w:pPr>
        <w:tabs>
          <w:tab w:val="right" w:pos="8928"/>
        </w:tabs>
        <w:spacing w:after="360"/>
        <w:ind w:left="360"/>
        <w:rPr>
          <w:rFonts w:ascii="Arial" w:eastAsia="Arial" w:hAnsi="Arial" w:cs="Arial"/>
        </w:rPr>
      </w:pPr>
      <w:bookmarkStart w:id="3" w:name="_PAR__3_ff839119_656d_448d_88c1_69068e9e"/>
      <w:bookmarkEnd w:id="2"/>
      <w:r>
        <w:rPr>
          <w:rFonts w:ascii="Arial" w:eastAsia="Arial" w:hAnsi="Arial" w:cs="Arial"/>
        </w:rPr>
        <w:t>Date:</w:t>
      </w:r>
      <w:r>
        <w:rPr>
          <w:rFonts w:ascii="Arial" w:eastAsia="Arial" w:hAnsi="Arial" w:cs="Arial"/>
        </w:rPr>
        <w:tab/>
        <w:t>(Filing No. H-         )</w:t>
      </w:r>
    </w:p>
    <w:p w:rsidR="0027348D" w:rsidP="0027348D">
      <w:pPr>
        <w:spacing w:before="60" w:after="60"/>
        <w:ind w:left="720"/>
        <w:rPr>
          <w:rFonts w:ascii="Arial" w:eastAsia="Arial" w:hAnsi="Arial" w:cs="Arial"/>
        </w:rPr>
      </w:pPr>
      <w:bookmarkStart w:id="4" w:name="_PAR__4_43176393_0fb1_4b21_a96c_ad25b88c"/>
      <w:bookmarkEnd w:id="3"/>
      <w:r>
        <w:rPr>
          <w:rFonts w:ascii="Arial" w:eastAsia="Arial" w:hAnsi="Arial" w:cs="Arial"/>
        </w:rPr>
        <w:t>Reproduced and distributed under the direction of the Clerk of the House.</w:t>
      </w:r>
    </w:p>
    <w:p w:rsidR="0027348D" w:rsidP="0027348D">
      <w:pPr>
        <w:spacing w:before="160" w:after="0"/>
        <w:ind w:left="360"/>
        <w:jc w:val="center"/>
        <w:outlineLvl w:val="0"/>
        <w:rPr>
          <w:rFonts w:ascii="Arial" w:eastAsia="Arial" w:hAnsi="Arial" w:cs="Arial"/>
          <w:b/>
          <w:caps/>
          <w:sz w:val="24"/>
          <w:szCs w:val="32"/>
        </w:rPr>
      </w:pPr>
      <w:bookmarkStart w:id="5" w:name="_PAR__5_23d6de4d_9156_4e6f_8b3a_6d69dca5"/>
      <w:bookmarkEnd w:id="4"/>
      <w:r>
        <w:rPr>
          <w:rFonts w:ascii="Arial" w:eastAsia="Arial" w:hAnsi="Arial" w:cs="Arial"/>
          <w:b/>
          <w:caps/>
          <w:sz w:val="24"/>
          <w:szCs w:val="32"/>
        </w:rPr>
        <w:t>STATE OF MAINE</w:t>
      </w:r>
    </w:p>
    <w:p w:rsidR="0027348D" w:rsidP="0027348D">
      <w:pPr>
        <w:spacing w:after="0"/>
        <w:ind w:left="360"/>
        <w:jc w:val="center"/>
        <w:outlineLvl w:val="0"/>
        <w:rPr>
          <w:rFonts w:ascii="Arial" w:eastAsia="Arial" w:hAnsi="Arial" w:cs="Arial"/>
          <w:b/>
          <w:caps/>
          <w:sz w:val="24"/>
          <w:szCs w:val="32"/>
        </w:rPr>
      </w:pPr>
      <w:bookmarkStart w:id="6" w:name="_PAR__6_6c27be44_5c8f_467e_afc1_44409b62"/>
      <w:bookmarkEnd w:id="5"/>
      <w:r>
        <w:rPr>
          <w:rFonts w:ascii="Arial" w:eastAsia="Arial" w:hAnsi="Arial" w:cs="Arial"/>
          <w:b/>
          <w:caps/>
          <w:sz w:val="24"/>
          <w:szCs w:val="32"/>
        </w:rPr>
        <w:t>HOUSE OF REPRESENTATIVES</w:t>
      </w:r>
    </w:p>
    <w:p w:rsidR="0027348D" w:rsidP="0027348D">
      <w:pPr>
        <w:spacing w:after="0"/>
        <w:ind w:left="360"/>
        <w:jc w:val="center"/>
        <w:outlineLvl w:val="0"/>
        <w:rPr>
          <w:rFonts w:ascii="Arial" w:eastAsia="Arial" w:hAnsi="Arial" w:cs="Arial"/>
          <w:b/>
          <w:caps/>
          <w:sz w:val="24"/>
          <w:szCs w:val="32"/>
        </w:rPr>
      </w:pPr>
      <w:bookmarkStart w:id="7" w:name="_PAR__7_0bd4e59b_072d_410a_8497_05b929fb"/>
      <w:bookmarkEnd w:id="6"/>
      <w:r>
        <w:rPr>
          <w:rFonts w:ascii="Arial" w:eastAsia="Arial" w:hAnsi="Arial" w:cs="Arial"/>
          <w:b/>
          <w:caps/>
          <w:sz w:val="24"/>
          <w:szCs w:val="32"/>
        </w:rPr>
        <w:t>130th Legislature</w:t>
      </w:r>
    </w:p>
    <w:p w:rsidR="0027348D" w:rsidP="0027348D">
      <w:pPr>
        <w:spacing w:after="0"/>
        <w:ind w:left="360"/>
        <w:jc w:val="center"/>
        <w:outlineLvl w:val="0"/>
        <w:rPr>
          <w:rFonts w:ascii="Arial" w:eastAsia="Arial" w:hAnsi="Arial" w:cs="Arial"/>
          <w:b/>
          <w:caps/>
          <w:sz w:val="24"/>
          <w:szCs w:val="32"/>
        </w:rPr>
      </w:pPr>
      <w:bookmarkStart w:id="8" w:name="_PAR__8_b45507c0_4091_4d85_bbfb_5bf2e125"/>
      <w:bookmarkEnd w:id="7"/>
      <w:r>
        <w:rPr>
          <w:rFonts w:ascii="Arial" w:eastAsia="Arial" w:hAnsi="Arial" w:cs="Arial"/>
          <w:b/>
          <w:caps/>
          <w:sz w:val="24"/>
          <w:szCs w:val="32"/>
        </w:rPr>
        <w:t>First Special Session</w:t>
      </w:r>
    </w:p>
    <w:p w:rsidR="0027348D" w:rsidP="0027348D">
      <w:pPr>
        <w:spacing w:before="400" w:after="200"/>
        <w:ind w:left="360" w:firstLine="360"/>
        <w:rPr>
          <w:rFonts w:ascii="Arial" w:eastAsia="Arial" w:hAnsi="Arial" w:cs="Arial"/>
        </w:rPr>
      </w:pPr>
      <w:bookmarkStart w:id="9" w:name="_PAR__9_7707a229_b99d_418a_a9e5_b605e6e6"/>
      <w:bookmarkEnd w:id="8"/>
      <w:r>
        <w:rPr>
          <w:rFonts w:ascii="Arial" w:eastAsia="Arial" w:hAnsi="Arial" w:cs="Arial"/>
          <w:szCs w:val="22"/>
        </w:rPr>
        <w:t>HOUSE AMENDMENT “      ” to COMMITTEE AMENDMENT “A” to H.P. 968, L.D. 1312, “An Act To Remove Barriers to Accessory Dwelling Units and Allow Accessory Dwelling Units where Single-family Houses Are Allowed”</w:t>
      </w:r>
    </w:p>
    <w:p w:rsidR="0027348D" w:rsidP="0027348D">
      <w:pPr>
        <w:ind w:left="360" w:firstLine="360"/>
        <w:rPr>
          <w:rFonts w:ascii="Arial" w:eastAsia="Arial" w:hAnsi="Arial" w:cs="Arial"/>
        </w:rPr>
      </w:pPr>
      <w:bookmarkStart w:id="10" w:name="_INSTRUCTION__54cf4003_1d4a_4fc2_8625_05"/>
      <w:bookmarkStart w:id="11" w:name="_PAR__10_aec337e9_410b_4aa7_825a_d1def11"/>
      <w:bookmarkEnd w:id="0"/>
      <w:bookmarkEnd w:id="9"/>
      <w:r>
        <w:rPr>
          <w:rFonts w:ascii="Arial" w:eastAsia="Arial" w:hAnsi="Arial" w:cs="Arial"/>
        </w:rPr>
        <w:t>Amend the amendment in the first paragraph after the title (page 1, lines 12 to 14 in amendment) by striking out the following: "in section 1 in §3015 in subsection 2 in paragraph C in the first line (page 1, line 12 in L.D.) by striking out the following: "</w:t>
      </w:r>
      <w:r>
        <w:rPr>
          <w:rFonts w:ascii="Arial" w:eastAsia="Arial" w:hAnsi="Arial" w:cs="Arial"/>
          <w:u w:val="single"/>
        </w:rPr>
        <w:t>Except as provided in paragraph E, require</w:t>
      </w:r>
      <w:r>
        <w:rPr>
          <w:rFonts w:ascii="Arial" w:eastAsia="Arial" w:hAnsi="Arial" w:cs="Arial"/>
        </w:rPr>
        <w:t>" and inserting the following: '</w:t>
      </w:r>
      <w:r>
        <w:rPr>
          <w:rFonts w:ascii="Arial" w:eastAsia="Arial" w:hAnsi="Arial" w:cs="Arial"/>
          <w:u w:val="single"/>
        </w:rPr>
        <w:t>Require</w:t>
      </w:r>
      <w:r>
        <w:rPr>
          <w:rFonts w:ascii="Arial" w:eastAsia="Arial" w:hAnsi="Arial" w:cs="Arial"/>
        </w:rPr>
        <w:t>' " and inserting the following: 'by striking out everything after the enacting clause and inserting the following:'</w:t>
      </w:r>
    </w:p>
    <w:p w:rsidR="0027348D" w:rsidP="0027348D">
      <w:pPr>
        <w:ind w:left="360" w:firstLine="360"/>
        <w:rPr>
          <w:rFonts w:ascii="Arial" w:eastAsia="Arial" w:hAnsi="Arial" w:cs="Arial"/>
        </w:rPr>
      </w:pPr>
      <w:bookmarkStart w:id="12" w:name="_INSTRUCTION__664324cb_828c_448b_b5f3_12"/>
      <w:bookmarkStart w:id="13" w:name="_PAR__11_7e3ec8d6_6ffc_4d0a_84ff_713a171"/>
      <w:bookmarkEnd w:id="10"/>
      <w:bookmarkEnd w:id="11"/>
      <w:r>
        <w:rPr>
          <w:rFonts w:ascii="Arial" w:eastAsia="Arial" w:hAnsi="Arial" w:cs="Arial"/>
        </w:rPr>
        <w:t>Amend the amendment by striking out everything after the first paragraph after the title and inserting the following:</w:t>
      </w:r>
    </w:p>
    <w:p w:rsidR="0027348D" w:rsidP="0027348D">
      <w:pPr>
        <w:ind w:left="360" w:firstLine="360"/>
        <w:rPr>
          <w:rFonts w:ascii="Arial" w:eastAsia="Arial" w:hAnsi="Arial" w:cs="Arial"/>
        </w:rPr>
      </w:pPr>
      <w:bookmarkStart w:id="14" w:name="_PAR__12_2826da0d_a273_4299_a208_31fba17"/>
      <w:bookmarkEnd w:id="13"/>
      <w:r>
        <w:rPr>
          <w:rFonts w:ascii="Arial" w:eastAsia="Arial" w:hAnsi="Arial" w:cs="Arial"/>
        </w:rPr>
        <w:t>'</w:t>
      </w:r>
      <w:r>
        <w:rPr>
          <w:rFonts w:ascii="Arial" w:eastAsia="Arial" w:hAnsi="Arial" w:cs="Arial"/>
          <w:b/>
          <w:sz w:val="24"/>
        </w:rPr>
        <w:t>Sec. 1.  30-A MRSA §3015</w:t>
      </w:r>
      <w:r>
        <w:rPr>
          <w:rFonts w:ascii="Arial" w:eastAsia="Arial" w:hAnsi="Arial" w:cs="Arial"/>
        </w:rPr>
        <w:t xml:space="preserve"> is enacted to read:</w:t>
      </w:r>
    </w:p>
    <w:p w:rsidR="0027348D" w:rsidP="0027348D">
      <w:pPr>
        <w:ind w:left="1080" w:hanging="720"/>
        <w:rPr>
          <w:rFonts w:ascii="Arial" w:eastAsia="Arial" w:hAnsi="Arial" w:cs="Arial"/>
        </w:rPr>
      </w:pPr>
      <w:bookmarkStart w:id="15" w:name="_PAR__13_f6040185_b60f_425d_9754_b539215"/>
      <w:bookmarkEnd w:id="14"/>
      <w:r>
        <w:rPr>
          <w:rFonts w:ascii="Arial" w:eastAsia="Arial" w:hAnsi="Arial" w:cs="Arial"/>
          <w:b/>
          <w:u w:val="single"/>
        </w:rPr>
        <w:t>§3015.  Accessory dwelling units</w:t>
      </w:r>
    </w:p>
    <w:p w:rsidR="0027348D" w:rsidP="0027348D">
      <w:pPr>
        <w:ind w:left="360" w:firstLine="360"/>
        <w:rPr>
          <w:rFonts w:ascii="Arial" w:eastAsia="Arial" w:hAnsi="Arial" w:cs="Arial"/>
        </w:rPr>
      </w:pPr>
      <w:bookmarkStart w:id="16" w:name="_PAR__14_0da904b3_57ca_42f9_b395_be22268"/>
      <w:bookmarkEnd w:id="15"/>
      <w:r>
        <w:rPr>
          <w:rFonts w:ascii="Arial" w:eastAsia="Arial" w:hAnsi="Arial" w:cs="Arial"/>
          <w:u w:val="single"/>
        </w:rPr>
        <w:t>A municipality shall allow one accessory dwelling unit, as defined in section 4301, subsection 1-C, to be located on the same lot as a single-family dwelling unit as long as the unit complies with minimum shoreland zoning guidelines adopted by the Department of Environmental Protection, subject to all locally adopted accessory dwelling unit land use requirements, and either the primary or accessory dwelling is owner-occupied. A municipality may not adopt an ordinance or regulation that circumvents the provisions of this section.</w:t>
      </w:r>
    </w:p>
    <w:p w:rsidR="0027348D" w:rsidP="0027348D">
      <w:pPr>
        <w:ind w:left="360" w:firstLine="360"/>
        <w:rPr>
          <w:rFonts w:ascii="Arial" w:eastAsia="Arial" w:hAnsi="Arial" w:cs="Arial"/>
        </w:rPr>
      </w:pPr>
      <w:bookmarkStart w:id="17" w:name="_PAR__15_f0c9d34d_00d6_44ed_8911_68f030b"/>
      <w:bookmarkEnd w:id="16"/>
      <w:r>
        <w:rPr>
          <w:rFonts w:ascii="Arial" w:eastAsia="Arial" w:hAnsi="Arial" w:cs="Arial"/>
          <w:u w:val="single"/>
        </w:rPr>
        <w:t>For purposes of this section, "lot" means acreage sufficient to satisfy the minimum lot size as required by the municipality's land use or building permit ordinance or regulations or, in the absence of any municipal minimum lot size requirement, as required by Title 12, section 4807-A.</w:t>
      </w:r>
    </w:p>
    <w:p w:rsidR="0027348D" w:rsidP="0027348D">
      <w:pPr>
        <w:ind w:left="360" w:firstLine="360"/>
        <w:rPr>
          <w:rFonts w:ascii="Arial" w:eastAsia="Arial" w:hAnsi="Arial" w:cs="Arial"/>
        </w:rPr>
      </w:pPr>
      <w:bookmarkStart w:id="18" w:name="_PAR__16_eef01df9_313c_468b_877e_1a295ef"/>
      <w:bookmarkEnd w:id="17"/>
      <w:r>
        <w:rPr>
          <w:rFonts w:ascii="Arial" w:eastAsia="Arial" w:hAnsi="Arial" w:cs="Arial"/>
          <w:b/>
          <w:sz w:val="24"/>
        </w:rPr>
        <w:t>Sec. 2.  Appropriations and allocations.</w:t>
      </w:r>
      <w:r>
        <w:rPr>
          <w:rFonts w:ascii="Arial" w:eastAsia="Arial" w:hAnsi="Arial" w:cs="Arial"/>
        </w:rPr>
        <w:t>  The following appropriations and allocations are made.</w:t>
      </w:r>
    </w:p>
    <w:p w:rsidR="0027348D" w:rsidP="0027348D">
      <w:pPr>
        <w:pStyle w:val="BPSParagraphLeftAlign"/>
        <w:suppressAutoHyphens/>
        <w:ind w:left="360"/>
        <w:rPr>
          <w:rFonts w:ascii="Arial" w:eastAsia="Arial" w:hAnsi="Arial" w:cs="Arial"/>
        </w:rPr>
      </w:pPr>
      <w:bookmarkStart w:id="19" w:name="_PAR__17_2c746e0b_b286_4d49_8af9_8b599eb"/>
      <w:bookmarkEnd w:id="18"/>
      <w:r>
        <w:rPr>
          <w:rFonts w:ascii="Arial" w:eastAsia="Arial" w:hAnsi="Arial" w:cs="Arial"/>
          <w:b/>
        </w:rPr>
        <w:t>ADMINISTRATIVE AND FINANCIAL SERVICES, DEPARTMENT OF</w:t>
      </w:r>
    </w:p>
    <w:p w:rsidR="0027348D" w:rsidP="0027348D">
      <w:pPr>
        <w:pStyle w:val="BPSParagraphLeftAlign"/>
        <w:suppressAutoHyphens/>
        <w:ind w:left="360"/>
        <w:rPr>
          <w:rFonts w:ascii="Arial" w:eastAsia="Arial" w:hAnsi="Arial" w:cs="Arial"/>
        </w:rPr>
      </w:pPr>
      <w:bookmarkStart w:id="20" w:name="_PAR__18_12db7f15_db01_4b73_ad57_438730f"/>
      <w:bookmarkEnd w:id="19"/>
      <w:r>
        <w:rPr>
          <w:rFonts w:ascii="Arial" w:eastAsia="Arial" w:hAnsi="Arial" w:cs="Arial"/>
          <w:b/>
        </w:rPr>
        <w:t>Single Family Dwelling Units Fund N404</w:t>
      </w:r>
    </w:p>
    <w:p w:rsidR="0027348D" w:rsidP="0027348D">
      <w:pPr>
        <w:ind w:left="360"/>
        <w:rPr>
          <w:rFonts w:ascii="Arial" w:eastAsia="Arial" w:hAnsi="Arial" w:cs="Arial"/>
        </w:rPr>
      </w:pPr>
      <w:bookmarkStart w:id="21" w:name="_PAGE__2_09680267_b9ee_4f00_8e7b_a802ccb"/>
      <w:bookmarkStart w:id="22" w:name="_PAR__2_64b43d12_694d_48ac_85ff_ce80d4e7"/>
      <w:bookmarkEnd w:id="1"/>
      <w:bookmarkEnd w:id="20"/>
      <w:r>
        <w:rPr>
          <w:rFonts w:ascii="Arial" w:eastAsia="Arial" w:hAnsi="Arial" w:cs="Arial"/>
        </w:rPr>
        <w:t>Initiative: Provides funding to reimburse municipalities for costs associated with requiring municipalities to allow one accessory dwelling unit to be included within or on the same lot as a single-family dwelling unit.</w:t>
      </w:r>
    </w:p>
    <w:tbl>
      <w:tblPr>
        <w:tblStyle w:val="BPSTable"/>
        <w:tblW w:w="0" w:type="auto"/>
        <w:tblInd w:w="360" w:type="dxa"/>
        <w:tblCellMar>
          <w:left w:w="0" w:type="dxa"/>
          <w:right w:w="0" w:type="dxa"/>
        </w:tblCellMar>
        <w:tblLook w:val="04A0"/>
      </w:tblPr>
      <w:tblGrid>
        <w:gridCol w:w="5009"/>
        <w:gridCol w:w="1463"/>
        <w:gridCol w:w="1463"/>
      </w:tblGrid>
      <w:tr w:rsidTr="00BB3157">
        <w:tblPrEx>
          <w:tblW w:w="0" w:type="auto"/>
          <w:tblInd w:w="360" w:type="dxa"/>
          <w:tblCellMar>
            <w:left w:w="0" w:type="dxa"/>
            <w:right w:w="0" w:type="dxa"/>
          </w:tblCellMar>
          <w:tblLook w:val="04A0"/>
        </w:tblPrEx>
        <w:tc>
          <w:tcPr>
            <w:tcW w:w="5069" w:type="dxa"/>
          </w:tcPr>
          <w:p w:rsidR="0027348D" w:rsidP="00BB3157">
            <w:pPr>
              <w:spacing w:before="0" w:after="0"/>
              <w:rPr>
                <w:rFonts w:ascii="Arial" w:eastAsia="Arial" w:hAnsi="Arial" w:cs="Arial"/>
              </w:rPr>
            </w:pPr>
            <w:bookmarkStart w:id="23" w:name="_PAR__3_98980c6e_9d52_4d01_b685_50f94274"/>
            <w:bookmarkStart w:id="24" w:name="_LINE__4_b2a02896_1261_41fa_af1a_2159063"/>
            <w:bookmarkEnd w:id="22"/>
            <w:r>
              <w:rPr>
                <w:rFonts w:ascii="Arial" w:eastAsia="Arial" w:hAnsi="Arial" w:cs="Arial"/>
                <w:b/>
              </w:rPr>
              <w:t>GENERAL FUND</w:t>
            </w:r>
            <w:bookmarkEnd w:id="24"/>
          </w:p>
        </w:tc>
        <w:tc>
          <w:tcPr>
            <w:tcW w:w="1469" w:type="dxa"/>
          </w:tcPr>
          <w:p w:rsidR="0027348D" w:rsidP="00BB3157">
            <w:pPr>
              <w:spacing w:before="0" w:after="0"/>
              <w:jc w:val="right"/>
              <w:rPr>
                <w:rFonts w:ascii="Arial" w:eastAsia="Arial" w:hAnsi="Arial" w:cs="Arial"/>
              </w:rPr>
            </w:pPr>
            <w:bookmarkStart w:id="25" w:name="_LINE__4_330cc36b_6fad_4b68_be48_6d1cefb"/>
            <w:r>
              <w:rPr>
                <w:rFonts w:ascii="Arial" w:eastAsia="Arial" w:hAnsi="Arial" w:cs="Arial"/>
                <w:b/>
              </w:rPr>
              <w:t>2021-22</w:t>
            </w:r>
            <w:bookmarkEnd w:id="25"/>
          </w:p>
        </w:tc>
        <w:tc>
          <w:tcPr>
            <w:tcW w:w="1469" w:type="dxa"/>
          </w:tcPr>
          <w:p w:rsidR="0027348D" w:rsidP="00BB3157">
            <w:pPr>
              <w:spacing w:before="0" w:after="0"/>
              <w:jc w:val="right"/>
              <w:rPr>
                <w:rFonts w:ascii="Arial" w:eastAsia="Arial" w:hAnsi="Arial" w:cs="Arial"/>
              </w:rPr>
            </w:pPr>
            <w:bookmarkStart w:id="26" w:name="_LINE__4_f729a485_7b41_4e57_b3ae_1fbd073"/>
            <w:r>
              <w:rPr>
                <w:rFonts w:ascii="Arial" w:eastAsia="Arial" w:hAnsi="Arial" w:cs="Arial"/>
                <w:b/>
              </w:rPr>
              <w:t>2022-23</w:t>
            </w:r>
            <w:bookmarkEnd w:id="26"/>
          </w:p>
        </w:tc>
      </w:tr>
      <w:tr w:rsidTr="00BB3157">
        <w:tblPrEx>
          <w:tblW w:w="0" w:type="auto"/>
          <w:tblInd w:w="360" w:type="dxa"/>
          <w:tblCellMar>
            <w:left w:w="0" w:type="dxa"/>
            <w:right w:w="0" w:type="dxa"/>
          </w:tblCellMar>
          <w:tblLook w:val="04A0"/>
        </w:tblPrEx>
        <w:tc>
          <w:tcPr>
            <w:tcW w:w="5069" w:type="dxa"/>
          </w:tcPr>
          <w:p w:rsidR="0027348D" w:rsidP="00BB3157">
            <w:pPr>
              <w:spacing w:before="0" w:after="0"/>
              <w:ind w:left="180"/>
              <w:rPr>
                <w:rFonts w:ascii="Arial" w:eastAsia="Arial" w:hAnsi="Arial" w:cs="Arial"/>
              </w:rPr>
            </w:pPr>
            <w:bookmarkStart w:id="27" w:name="_LINE__5_ba5412d4_458a_4298_99f1_a5c7544"/>
            <w:r>
              <w:rPr>
                <w:rFonts w:ascii="Arial" w:eastAsia="Arial" w:hAnsi="Arial" w:cs="Arial"/>
              </w:rPr>
              <w:t>All Other</w:t>
            </w:r>
            <w:bookmarkEnd w:id="27"/>
          </w:p>
        </w:tc>
        <w:tc>
          <w:tcPr>
            <w:tcW w:w="1469" w:type="dxa"/>
          </w:tcPr>
          <w:p w:rsidR="0027348D" w:rsidP="00BB3157">
            <w:pPr>
              <w:spacing w:before="0" w:after="0"/>
              <w:jc w:val="right"/>
              <w:rPr>
                <w:rFonts w:ascii="Arial" w:eastAsia="Arial" w:hAnsi="Arial" w:cs="Arial"/>
              </w:rPr>
            </w:pPr>
            <w:bookmarkStart w:id="28" w:name="_LINE__5_bb02c984_5e4d_453d_a5c2_2e9d952"/>
            <w:r>
              <w:rPr>
                <w:rFonts w:ascii="Arial" w:eastAsia="Arial" w:hAnsi="Arial" w:cs="Arial"/>
              </w:rPr>
              <w:t>$95,004</w:t>
            </w:r>
            <w:bookmarkEnd w:id="28"/>
          </w:p>
        </w:tc>
        <w:tc>
          <w:tcPr>
            <w:tcW w:w="1469" w:type="dxa"/>
          </w:tcPr>
          <w:p w:rsidR="0027348D" w:rsidP="00BB3157">
            <w:pPr>
              <w:spacing w:before="0" w:after="0"/>
              <w:jc w:val="right"/>
              <w:rPr>
                <w:rFonts w:ascii="Arial" w:eastAsia="Arial" w:hAnsi="Arial" w:cs="Arial"/>
              </w:rPr>
            </w:pPr>
            <w:bookmarkStart w:id="29" w:name="_LINE__5_4088964f_6c27_4dda_b563_07e7a0a"/>
            <w:r>
              <w:rPr>
                <w:rFonts w:ascii="Arial" w:eastAsia="Arial" w:hAnsi="Arial" w:cs="Arial"/>
              </w:rPr>
              <w:t>$95,004</w:t>
            </w:r>
            <w:bookmarkEnd w:id="29"/>
          </w:p>
        </w:tc>
      </w:tr>
      <w:tr w:rsidTr="00BB3157">
        <w:tblPrEx>
          <w:tblW w:w="0" w:type="auto"/>
          <w:tblInd w:w="360" w:type="dxa"/>
          <w:tblCellMar>
            <w:left w:w="0" w:type="dxa"/>
            <w:right w:w="0" w:type="dxa"/>
          </w:tblCellMar>
          <w:tblLook w:val="04A0"/>
        </w:tblPrEx>
        <w:tc>
          <w:tcPr>
            <w:tcW w:w="5069" w:type="dxa"/>
          </w:tcPr>
          <w:p w:rsidR="0027348D" w:rsidP="00BB3157">
            <w:pPr>
              <w:spacing w:before="0" w:after="0"/>
              <w:rPr>
                <w:rFonts w:ascii="Arial" w:eastAsia="Arial" w:hAnsi="Arial" w:cs="Arial"/>
              </w:rPr>
            </w:pPr>
            <w:bookmarkStart w:id="30" w:name="_LINE__6_a2040b07_0261_4362_b395_e7701bf"/>
            <w:r>
              <w:rPr>
                <w:rFonts w:ascii="Arial" w:eastAsia="Arial" w:hAnsi="Arial" w:cs="Arial"/>
              </w:rPr>
              <w:t xml:space="preserve"> </w:t>
            </w:r>
            <w:bookmarkEnd w:id="30"/>
          </w:p>
        </w:tc>
        <w:tc>
          <w:tcPr>
            <w:tcW w:w="1469" w:type="dxa"/>
          </w:tcPr>
          <w:p w:rsidR="0027348D" w:rsidP="00BB3157">
            <w:pPr>
              <w:spacing w:before="0" w:after="0"/>
              <w:jc w:val="right"/>
              <w:rPr>
                <w:rFonts w:ascii="Arial" w:eastAsia="Arial" w:hAnsi="Arial" w:cs="Arial"/>
              </w:rPr>
            </w:pPr>
            <w:bookmarkStart w:id="31" w:name="_LINE__6_84378b6c_c0f6_44f6_89aa_a4309a7"/>
            <w:r>
              <w:rPr>
                <w:rFonts w:ascii="Arial" w:eastAsia="Arial" w:hAnsi="Arial" w:cs="Arial"/>
              </w:rPr>
              <w:t>__________</w:t>
            </w:r>
            <w:bookmarkEnd w:id="31"/>
          </w:p>
        </w:tc>
        <w:tc>
          <w:tcPr>
            <w:tcW w:w="1469" w:type="dxa"/>
          </w:tcPr>
          <w:p w:rsidR="0027348D" w:rsidP="00BB3157">
            <w:pPr>
              <w:spacing w:before="0" w:after="0"/>
              <w:jc w:val="right"/>
              <w:rPr>
                <w:rFonts w:ascii="Arial" w:eastAsia="Arial" w:hAnsi="Arial" w:cs="Arial"/>
              </w:rPr>
            </w:pPr>
            <w:bookmarkStart w:id="32" w:name="_LINE__6_57ad28a8_82d6_49a3_af10_58c2853"/>
            <w:r>
              <w:rPr>
                <w:rFonts w:ascii="Arial" w:eastAsia="Arial" w:hAnsi="Arial" w:cs="Arial"/>
              </w:rPr>
              <w:t>__________</w:t>
            </w:r>
            <w:bookmarkEnd w:id="32"/>
          </w:p>
        </w:tc>
      </w:tr>
      <w:tr w:rsidTr="00BB3157">
        <w:tblPrEx>
          <w:tblW w:w="0" w:type="auto"/>
          <w:tblInd w:w="360" w:type="dxa"/>
          <w:tblCellMar>
            <w:left w:w="0" w:type="dxa"/>
            <w:right w:w="0" w:type="dxa"/>
          </w:tblCellMar>
          <w:tblLook w:val="04A0"/>
        </w:tblPrEx>
        <w:tc>
          <w:tcPr>
            <w:tcW w:w="5069" w:type="dxa"/>
          </w:tcPr>
          <w:p w:rsidR="0027348D" w:rsidP="00BB3157">
            <w:pPr>
              <w:spacing w:before="0" w:after="0"/>
              <w:rPr>
                <w:rFonts w:ascii="Arial" w:eastAsia="Arial" w:hAnsi="Arial" w:cs="Arial"/>
              </w:rPr>
            </w:pPr>
            <w:bookmarkStart w:id="33" w:name="_LINE__7_55a2e24c_4d4b_4441_8e7c_4060812"/>
            <w:r>
              <w:rPr>
                <w:rFonts w:ascii="Arial" w:eastAsia="Arial" w:hAnsi="Arial" w:cs="Arial"/>
              </w:rPr>
              <w:t>GENERAL FUND TOTAL</w:t>
            </w:r>
            <w:bookmarkEnd w:id="33"/>
          </w:p>
        </w:tc>
        <w:tc>
          <w:tcPr>
            <w:tcW w:w="1469" w:type="dxa"/>
          </w:tcPr>
          <w:p w:rsidR="0027348D" w:rsidP="00BB3157">
            <w:pPr>
              <w:spacing w:before="0" w:after="0"/>
              <w:jc w:val="right"/>
              <w:rPr>
                <w:rFonts w:ascii="Arial" w:eastAsia="Arial" w:hAnsi="Arial" w:cs="Arial"/>
              </w:rPr>
            </w:pPr>
            <w:bookmarkStart w:id="34" w:name="_LINE__7_4431b5c3_a387_4d13_93fc_b3904b8"/>
            <w:r>
              <w:rPr>
                <w:rFonts w:ascii="Arial" w:eastAsia="Arial" w:hAnsi="Arial" w:cs="Arial"/>
              </w:rPr>
              <w:t>$95,004</w:t>
            </w:r>
            <w:bookmarkEnd w:id="34"/>
          </w:p>
        </w:tc>
        <w:tc>
          <w:tcPr>
            <w:tcW w:w="1469" w:type="dxa"/>
          </w:tcPr>
          <w:p w:rsidR="0027348D" w:rsidP="00BB3157">
            <w:pPr>
              <w:spacing w:before="0" w:after="0"/>
              <w:jc w:val="right"/>
              <w:rPr>
                <w:rFonts w:ascii="Arial" w:eastAsia="Arial" w:hAnsi="Arial" w:cs="Arial"/>
              </w:rPr>
            </w:pPr>
            <w:bookmarkStart w:id="35" w:name="_LINE__7_51eef5cb_b43e_4827_92cd_9ed2f72"/>
            <w:r>
              <w:rPr>
                <w:rFonts w:ascii="Arial" w:eastAsia="Arial" w:hAnsi="Arial" w:cs="Arial"/>
              </w:rPr>
              <w:t>$95,004</w:t>
            </w:r>
            <w:bookmarkEnd w:id="35"/>
          </w:p>
        </w:tc>
      </w:tr>
    </w:tbl>
    <w:p w:rsidR="0027348D" w:rsidP="0027348D">
      <w:pPr>
        <w:ind w:left="360"/>
        <w:rPr>
          <w:rFonts w:ascii="Arial" w:eastAsia="Arial" w:hAnsi="Arial" w:cs="Arial"/>
        </w:rPr>
      </w:pPr>
      <w:bookmarkStart w:id="36" w:name="_PAR__4_d24bf43c_411d_4a22_8c4a_b9379faa"/>
      <w:bookmarkEnd w:id="23"/>
      <w:r>
        <w:rPr>
          <w:rFonts w:ascii="Arial" w:eastAsia="Arial" w:hAnsi="Arial" w:cs="Arial"/>
        </w:rPr>
        <w:t>'</w:t>
      </w:r>
    </w:p>
    <w:p w:rsidR="0027348D" w:rsidP="0027348D">
      <w:pPr>
        <w:ind w:left="360" w:firstLine="360"/>
        <w:rPr>
          <w:rFonts w:ascii="Arial" w:eastAsia="Arial" w:hAnsi="Arial" w:cs="Arial"/>
        </w:rPr>
      </w:pPr>
      <w:bookmarkStart w:id="37" w:name="_INSTRUCTION__1888dc80_d8da_4457_8c35_41"/>
      <w:bookmarkStart w:id="38" w:name="_PAR__5_4c5d0b71_af21_4441_8aa6_d1ea216e"/>
      <w:bookmarkEnd w:id="12"/>
      <w:bookmarkEnd w:id="36"/>
      <w:r>
        <w:rPr>
          <w:rFonts w:ascii="Arial" w:eastAsia="Arial" w:hAnsi="Arial" w:cs="Arial"/>
        </w:rPr>
        <w:t>Amend the amendment by relettering or renumbering any nonconsecutive Part letter or section number to read consecutively.</w:t>
      </w:r>
    </w:p>
    <w:p w:rsidR="0027348D" w:rsidP="0027348D">
      <w:pPr>
        <w:keepNext/>
        <w:spacing w:before="240"/>
        <w:ind w:left="360"/>
        <w:jc w:val="center"/>
        <w:rPr>
          <w:rFonts w:ascii="Arial" w:eastAsia="Arial" w:hAnsi="Arial" w:cs="Arial"/>
        </w:rPr>
      </w:pPr>
      <w:bookmarkStart w:id="39" w:name="_SUMMARY__bb80042c_0f1a_4000_b764_3c878f"/>
      <w:bookmarkStart w:id="40" w:name="_PAR__6_06288df6_14fb_454f_867e_1c3ab5c9"/>
      <w:bookmarkEnd w:id="37"/>
      <w:bookmarkEnd w:id="38"/>
      <w:r>
        <w:rPr>
          <w:rFonts w:ascii="Arial" w:eastAsia="Arial" w:hAnsi="Arial" w:cs="Arial"/>
          <w:b/>
          <w:sz w:val="24"/>
        </w:rPr>
        <w:t>SUMMARY</w:t>
      </w:r>
    </w:p>
    <w:p w:rsidR="0027348D" w:rsidP="0027348D">
      <w:pPr>
        <w:keepNext/>
        <w:ind w:left="360" w:firstLine="360"/>
        <w:rPr>
          <w:rFonts w:ascii="Arial" w:eastAsia="Arial" w:hAnsi="Arial" w:cs="Arial"/>
        </w:rPr>
      </w:pPr>
      <w:bookmarkStart w:id="41" w:name="_LINE_NUM__a5f9319b_1b0b_409c_8ddc_06016"/>
      <w:bookmarkStart w:id="42" w:name="_PAR__7_e21eaef7_26dc_4a54_8c53_af70428e"/>
      <w:bookmarkEnd w:id="40"/>
      <w:bookmarkEnd w:id="41"/>
      <w:r w:rsidRPr="005B6450">
        <w:rPr>
          <w:rFonts w:ascii="Arial" w:eastAsia="Arial" w:hAnsi="Arial" w:cs="Arial"/>
        </w:rPr>
        <w:t xml:space="preserve"> </w:t>
      </w:r>
      <w:r w:rsidRPr="005B6450">
        <w:rPr>
          <w:rFonts w:ascii="Arial" w:eastAsia="Arial" w:hAnsi="Arial" w:cs="Arial"/>
          <w:noProof/>
        </w:rPr>
        <w:t>This amendment requires municipalities to allow one accessory dwelling unit as long as the unit complies with minimum shoreland zoning guidelines adopted by the Department of Environmental Protection, subject to locally adopted accessory dwelling unit land use requirements, and either the primary or accessory dwelling is owner</w:t>
      </w:r>
      <w:r>
        <w:rPr>
          <w:rFonts w:ascii="Arial" w:eastAsia="Arial" w:hAnsi="Arial" w:cs="Arial"/>
          <w:noProof/>
        </w:rPr>
        <w:t>-</w:t>
      </w:r>
      <w:r w:rsidRPr="005B6450">
        <w:rPr>
          <w:rFonts w:ascii="Arial" w:eastAsia="Arial" w:hAnsi="Arial" w:cs="Arial"/>
          <w:noProof/>
        </w:rPr>
        <w:t>occupied.  It prohibits a municipality from adopting an ordinance or regulation that circumvents the requirement.</w:t>
      </w:r>
      <w:r>
        <w:rPr>
          <w:rFonts w:ascii="Arial" w:eastAsia="Arial" w:hAnsi="Arial" w:cs="Arial"/>
          <w:noProof/>
        </w:rPr>
        <w:t xml:space="preserve">  The amendment also adds an appropriations and allocations section.</w:t>
      </w:r>
    </w:p>
    <w:p w:rsidR="0027348D" w:rsidP="0027348D">
      <w:pPr>
        <w:keepNext/>
        <w:spacing w:before="400" w:after="120" w:line="259" w:lineRule="auto"/>
        <w:ind w:left="360"/>
        <w:rPr>
          <w:rFonts w:ascii="Arial" w:eastAsia="Arial" w:hAnsi="Arial" w:cs="Arial"/>
          <w:b/>
        </w:rPr>
      </w:pPr>
      <w:bookmarkStart w:id="43" w:name="_SPONSOR_BLOCK__397c74a6_4723_4c30_86cf_"/>
      <w:bookmarkStart w:id="44" w:name="_PAR__8_2e15bfd8_ac82_4335_b0b2_f547cfde"/>
      <w:bookmarkEnd w:id="39"/>
      <w:bookmarkEnd w:id="42"/>
      <w:r>
        <w:rPr>
          <w:rFonts w:ascii="Arial" w:eastAsia="Arial" w:hAnsi="Arial" w:cs="Arial"/>
          <w:b/>
        </w:rPr>
        <w:t>SPONSORED BY: ___________________________________</w:t>
      </w:r>
    </w:p>
    <w:p w:rsidR="0027348D" w:rsidP="0027348D">
      <w:pPr>
        <w:keepNext/>
        <w:spacing w:after="120" w:line="259" w:lineRule="auto"/>
        <w:ind w:left="720"/>
        <w:rPr>
          <w:rFonts w:ascii="Arial" w:eastAsia="Arial" w:hAnsi="Arial" w:cs="Arial"/>
          <w:b/>
        </w:rPr>
      </w:pPr>
      <w:bookmarkStart w:id="45" w:name="_PAR__9_9255a936_9273_49ae_af2e_0c4289f3"/>
      <w:bookmarkEnd w:id="44"/>
      <w:r>
        <w:rPr>
          <w:rFonts w:ascii="Arial" w:eastAsia="Arial" w:hAnsi="Arial" w:cs="Arial"/>
          <w:b/>
        </w:rPr>
        <w:t>(Representative SYLVESTER, M.)</w:t>
      </w:r>
    </w:p>
    <w:p w:rsidR="00000000" w:rsidRPr="0027348D" w:rsidP="0027348D">
      <w:pPr>
        <w:spacing w:after="120" w:line="259" w:lineRule="auto"/>
        <w:ind w:left="1080"/>
        <w:rPr>
          <w:rFonts w:ascii="Arial" w:eastAsia="Arial" w:hAnsi="Arial" w:cs="Arial"/>
          <w:b/>
        </w:rPr>
      </w:pPr>
      <w:bookmarkStart w:id="46" w:name="_PAR__10_f2d604ed_746f_4b7a_977d_e186196"/>
      <w:bookmarkEnd w:id="45"/>
      <w:r>
        <w:rPr>
          <w:rFonts w:ascii="Arial" w:eastAsia="Arial" w:hAnsi="Arial" w:cs="Arial"/>
          <w:b/>
        </w:rPr>
        <w:t>TOWN: Portland</w:t>
      </w:r>
      <w:bookmarkEnd w:id="21"/>
      <w:bookmarkEnd w:id="43"/>
      <w:bookmarkEnd w:id="4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LR1429,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Remove Barriers to Accessory Dwelling Units and Allow Accessory Dwelling Units where Single-family Houses Are Allowed</w:t>
    </w:r>
  </w:p>
  <w:p>
    <w:pPr>
      <w:suppressLineNumbers/>
      <w:spacing w:before="0" w:after="0"/>
      <w:jc w:val="center"/>
      <w:rPr>
        <w:rFonts w:ascii="Arial" w:eastAsia="Arial" w:hAnsi="Arial" w:cs="Arial"/>
      </w:rPr>
    </w:pPr>
    <w:r>
      <w:rPr>
        <w:rFonts w:ascii="Arial" w:eastAsia="Arial" w:hAnsi="Arial" w:cs="Arial"/>
        <w:sz w:val="22"/>
      </w:rPr>
      <w:t>L.D. 1312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7348D"/>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B6450"/>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B3157"/>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