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Eliminate Limits on the Number of Taste-testing Events for Beer, Wine and Spirits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932 - L.D. 1272</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Eliminate Limits on the Number of Taste-testing Events for Beer, Wine and Spirits</w:t>
      </w:r>
    </w:p>
    <w:p w:rsidR="000349FF" w:rsidP="000349FF">
      <w:pPr>
        <w:ind w:left="360"/>
        <w:rPr>
          <w:rFonts w:ascii="Arial" w:eastAsia="Arial" w:hAnsi="Arial" w:cs="Arial"/>
        </w:rPr>
      </w:pPr>
      <w:bookmarkStart w:id="0" w:name="_ENACTING_CLAUSE__43a62a91_d56f_4818_abc"/>
      <w:bookmarkStart w:id="1" w:name="_PAR__1_a67134d8_1d3e_412f_8220_3ac9b606"/>
      <w:bookmarkStart w:id="2" w:name="_DOC_BODY_CONTAINER__d117c452_8599_4c79_"/>
      <w:r>
        <w:rPr>
          <w:rFonts w:ascii="Arial" w:eastAsia="Arial" w:hAnsi="Arial" w:cs="Arial"/>
          <w:b/>
        </w:rPr>
        <w:t>Be it enacted by the People of the State of Maine as follows:</w:t>
      </w:r>
    </w:p>
    <w:p w:rsidR="000349FF" w:rsidP="000349FF">
      <w:pPr>
        <w:ind w:left="360" w:firstLine="360"/>
        <w:rPr>
          <w:rFonts w:ascii="Arial" w:eastAsia="Arial" w:hAnsi="Arial" w:cs="Arial"/>
        </w:rPr>
      </w:pPr>
      <w:bookmarkStart w:id="3" w:name="_BILL_SECTION_HEADER__32afab85_8f13_46a6"/>
      <w:bookmarkStart w:id="4" w:name="_PAR__2_b5bba7be_987e_41c6_b668_7ac0a257"/>
      <w:bookmarkStart w:id="5" w:name="_BILL_SECTION__ee99e468_8604_4c5f_85c5_5"/>
      <w:bookmarkStart w:id="6" w:name="_DOC_BODY_CONTENT__711a3e81_9f56_4ed4_8d"/>
      <w:bookmarkEnd w:id="0"/>
      <w:bookmarkEnd w:id="1"/>
      <w:r>
        <w:rPr>
          <w:rFonts w:ascii="Arial" w:eastAsia="Arial" w:hAnsi="Arial" w:cs="Arial"/>
          <w:b/>
          <w:sz w:val="24"/>
        </w:rPr>
        <w:t xml:space="preserve">Sec. </w:t>
      </w:r>
      <w:bookmarkStart w:id="7" w:name="_BILL_SECTION_NUMBER__9c8e0129_cd9d_4591"/>
      <w:r>
        <w:rPr>
          <w:rFonts w:ascii="Arial" w:eastAsia="Arial" w:hAnsi="Arial" w:cs="Arial"/>
          <w:b/>
          <w:sz w:val="24"/>
        </w:rPr>
        <w:t>1</w:t>
      </w:r>
      <w:bookmarkEnd w:id="7"/>
      <w:r>
        <w:rPr>
          <w:rFonts w:ascii="Arial" w:eastAsia="Arial" w:hAnsi="Arial" w:cs="Arial"/>
          <w:b/>
          <w:sz w:val="24"/>
        </w:rPr>
        <w:t>.  28-A MRSA §460, sub-§2, ¶J,</w:t>
      </w:r>
      <w:r>
        <w:rPr>
          <w:rFonts w:ascii="Arial" w:eastAsia="Arial" w:hAnsi="Arial" w:cs="Arial"/>
        </w:rPr>
        <w:t xml:space="preserve"> as amended by PL 2019, c. 79, §1, is further amended to read:</w:t>
      </w:r>
    </w:p>
    <w:p w:rsidR="000349FF" w:rsidP="000349FF">
      <w:pPr>
        <w:ind w:left="720"/>
        <w:rPr>
          <w:rFonts w:ascii="Arial" w:eastAsia="Arial" w:hAnsi="Arial" w:cs="Arial"/>
        </w:rPr>
      </w:pPr>
      <w:bookmarkStart w:id="8" w:name="_STATUTE_NUMBER__34fde095_79b2_4aa9_bc23"/>
      <w:bookmarkStart w:id="9" w:name="_STATUTE_P__9c3b5bd9_6b8b_4c86_b247_defa"/>
      <w:bookmarkStart w:id="10" w:name="_PAR__3_2742a04c_5ab9_4572_9070_3a1732b9"/>
      <w:bookmarkEnd w:id="3"/>
      <w:bookmarkEnd w:id="4"/>
      <w:r>
        <w:rPr>
          <w:rFonts w:ascii="Arial" w:eastAsia="Arial" w:hAnsi="Arial" w:cs="Arial"/>
        </w:rPr>
        <w:t>J</w:t>
      </w:r>
      <w:bookmarkEnd w:id="8"/>
      <w:r>
        <w:rPr>
          <w:rFonts w:ascii="Arial" w:eastAsia="Arial" w:hAnsi="Arial" w:cs="Arial"/>
        </w:rPr>
        <w:t xml:space="preserve">.  </w:t>
      </w:r>
      <w:bookmarkStart w:id="11" w:name="_STATUTE_CONTENT__783b8fb4_01a1_44dd_ac8"/>
      <w:r>
        <w:rPr>
          <w:rFonts w:ascii="Arial" w:eastAsia="Arial" w:hAnsi="Arial" w:cs="Arial"/>
        </w:rPr>
        <w:t xml:space="preserve">The agency liquor store may conduct </w:t>
      </w:r>
      <w:r>
        <w:rPr>
          <w:rFonts w:ascii="Arial" w:eastAsia="Arial" w:hAnsi="Arial" w:cs="Arial"/>
          <w:strike/>
        </w:rPr>
        <w:t>up to 15</w:t>
      </w:r>
      <w:r>
        <w:rPr>
          <w:rFonts w:ascii="Arial" w:eastAsia="Arial" w:hAnsi="Arial" w:cs="Arial"/>
        </w:rPr>
        <w:t xml:space="preserve"> </w:t>
      </w:r>
      <w:r>
        <w:rPr>
          <w:rFonts w:ascii="Arial" w:eastAsia="Arial" w:hAnsi="Arial" w:cs="Arial"/>
          <w:u w:val="single"/>
        </w:rPr>
        <w:t>an unlimited number of</w:t>
      </w:r>
      <w:r w:rsidRPr="006B3EFD">
        <w:rPr>
          <w:rFonts w:ascii="Arial" w:eastAsia="Arial" w:hAnsi="Arial" w:cs="Arial"/>
        </w:rPr>
        <w:t xml:space="preserve"> </w:t>
      </w:r>
      <w:r>
        <w:rPr>
          <w:rFonts w:ascii="Arial" w:eastAsia="Arial" w:hAnsi="Arial" w:cs="Arial"/>
        </w:rPr>
        <w:t>taste‑testing events per month</w:t>
      </w:r>
      <w:r>
        <w:rPr>
          <w:rFonts w:ascii="Arial" w:eastAsia="Arial" w:hAnsi="Arial" w:cs="Arial"/>
          <w:strike/>
        </w:rPr>
        <w:t xml:space="preserve">, including taste‑testing events conducted under </w:t>
      </w:r>
      <w:bookmarkStart w:id="12" w:name="_CROSS_REFERENCE__c77eb2e7_f411_4545_834"/>
      <w:r>
        <w:rPr>
          <w:rFonts w:ascii="Arial" w:eastAsia="Arial" w:hAnsi="Arial" w:cs="Arial"/>
          <w:strike/>
        </w:rPr>
        <w:t>sections 1205</w:t>
      </w:r>
      <w:bookmarkEnd w:id="12"/>
      <w:r>
        <w:rPr>
          <w:rFonts w:ascii="Arial" w:eastAsia="Arial" w:hAnsi="Arial" w:cs="Arial"/>
          <w:strike/>
        </w:rPr>
        <w:t xml:space="preserve"> and 1207</w:t>
      </w:r>
      <w:r>
        <w:rPr>
          <w:rFonts w:ascii="Arial" w:eastAsia="Arial" w:hAnsi="Arial" w:cs="Arial"/>
        </w:rPr>
        <w:t>.  If the agency liquor store complies with the applicable requirements of sections 1205 and 1207, the agency liquor store may offer wine and malt liquor for tasting at the same time as spirits.</w:t>
      </w:r>
      <w:bookmarkEnd w:id="11"/>
    </w:p>
    <w:p w:rsidR="000349FF" w:rsidP="000349FF">
      <w:pPr>
        <w:ind w:left="360" w:firstLine="360"/>
        <w:rPr>
          <w:rFonts w:ascii="Arial" w:eastAsia="Arial" w:hAnsi="Arial" w:cs="Arial"/>
        </w:rPr>
      </w:pPr>
      <w:bookmarkStart w:id="13" w:name="_BILL_SECTION_HEADER__71a9cc02_e88a_4ac2"/>
      <w:bookmarkStart w:id="14" w:name="_PAR__4_710578e4_c9fc_4413_acb4_9b415179"/>
      <w:bookmarkStart w:id="15" w:name="_BILL_SECTION__076b8f9c_b2b8_47fa_8977_4"/>
      <w:bookmarkEnd w:id="5"/>
      <w:bookmarkEnd w:id="9"/>
      <w:bookmarkEnd w:id="10"/>
      <w:r>
        <w:rPr>
          <w:rFonts w:ascii="Arial" w:eastAsia="Arial" w:hAnsi="Arial" w:cs="Arial"/>
          <w:b/>
          <w:sz w:val="24"/>
        </w:rPr>
        <w:t xml:space="preserve">Sec. </w:t>
      </w:r>
      <w:bookmarkStart w:id="16" w:name="_BILL_SECTION_NUMBER__04203415_d11c_4ede"/>
      <w:r>
        <w:rPr>
          <w:rFonts w:ascii="Arial" w:eastAsia="Arial" w:hAnsi="Arial" w:cs="Arial"/>
          <w:b/>
          <w:sz w:val="24"/>
        </w:rPr>
        <w:t>2</w:t>
      </w:r>
      <w:bookmarkEnd w:id="16"/>
      <w:r>
        <w:rPr>
          <w:rFonts w:ascii="Arial" w:eastAsia="Arial" w:hAnsi="Arial" w:cs="Arial"/>
          <w:b/>
          <w:sz w:val="24"/>
        </w:rPr>
        <w:t>.  28-A MRSA §1205, sub-§2, ¶H,</w:t>
      </w:r>
      <w:r>
        <w:rPr>
          <w:rFonts w:ascii="Arial" w:eastAsia="Arial" w:hAnsi="Arial" w:cs="Arial"/>
        </w:rPr>
        <w:t xml:space="preserve"> as amended by PL 2019, c. 79, §2, is further amended to read:</w:t>
      </w:r>
    </w:p>
    <w:p w:rsidR="000349FF" w:rsidP="000349FF">
      <w:pPr>
        <w:ind w:left="720"/>
        <w:rPr>
          <w:rFonts w:ascii="Arial" w:eastAsia="Arial" w:hAnsi="Arial" w:cs="Arial"/>
        </w:rPr>
      </w:pPr>
      <w:bookmarkStart w:id="17" w:name="_STATUTE_NUMBER__99da73c6_e7d0_42c8_9cb6"/>
      <w:bookmarkStart w:id="18" w:name="_STATUTE_P__d3a44eb9_8b86_492a_9ed0_6ca0"/>
      <w:bookmarkStart w:id="19" w:name="_PAR__5_26544bba_0f3a_428f_8a0b_0e909f94"/>
      <w:bookmarkEnd w:id="13"/>
      <w:bookmarkEnd w:id="14"/>
      <w:r>
        <w:rPr>
          <w:rFonts w:ascii="Arial" w:eastAsia="Arial" w:hAnsi="Arial" w:cs="Arial"/>
        </w:rPr>
        <w:t>H</w:t>
      </w:r>
      <w:bookmarkEnd w:id="17"/>
      <w:r>
        <w:rPr>
          <w:rFonts w:ascii="Arial" w:eastAsia="Arial" w:hAnsi="Arial" w:cs="Arial"/>
        </w:rPr>
        <w:t xml:space="preserve">.  </w:t>
      </w:r>
      <w:bookmarkStart w:id="20" w:name="_STATUTE_CONTENT__82f387e0_d8cb_4dde_888"/>
      <w:r>
        <w:rPr>
          <w:rFonts w:ascii="Arial" w:eastAsia="Arial" w:hAnsi="Arial" w:cs="Arial"/>
        </w:rPr>
        <w:t xml:space="preserve">The retail licensee may conduct </w:t>
      </w:r>
      <w:r>
        <w:rPr>
          <w:rFonts w:ascii="Arial" w:eastAsia="Arial" w:hAnsi="Arial" w:cs="Arial"/>
          <w:strike/>
        </w:rPr>
        <w:t>up to 15</w:t>
      </w:r>
      <w:r>
        <w:rPr>
          <w:rFonts w:ascii="Arial" w:eastAsia="Arial" w:hAnsi="Arial" w:cs="Arial"/>
        </w:rPr>
        <w:t xml:space="preserve"> </w:t>
      </w:r>
      <w:r>
        <w:rPr>
          <w:rFonts w:ascii="Arial" w:eastAsia="Arial" w:hAnsi="Arial" w:cs="Arial"/>
          <w:u w:val="single"/>
        </w:rPr>
        <w:t>an unlimited number of</w:t>
      </w:r>
      <w:r w:rsidRPr="006B3EFD">
        <w:rPr>
          <w:rFonts w:ascii="Arial" w:eastAsia="Arial" w:hAnsi="Arial" w:cs="Arial"/>
        </w:rPr>
        <w:t xml:space="preserve"> </w:t>
      </w:r>
      <w:r>
        <w:rPr>
          <w:rFonts w:ascii="Arial" w:eastAsia="Arial" w:hAnsi="Arial" w:cs="Arial"/>
        </w:rPr>
        <w:t>taste‑testing events per month</w:t>
      </w:r>
      <w:r>
        <w:rPr>
          <w:rFonts w:ascii="Arial" w:eastAsia="Arial" w:hAnsi="Arial" w:cs="Arial"/>
          <w:strike/>
        </w:rPr>
        <w:t>, including taste‑testing events conducted under sections 460 and 1207</w:t>
      </w:r>
      <w:r>
        <w:rPr>
          <w:rFonts w:ascii="Arial" w:eastAsia="Arial" w:hAnsi="Arial" w:cs="Arial"/>
        </w:rPr>
        <w:t xml:space="preserve">.  If the retail licensee complies with the applicable requirements of </w:t>
      </w:r>
      <w:bookmarkStart w:id="21" w:name="_CROSS_REFERENCE__c0056bc6_e639_40d7_901"/>
      <w:r>
        <w:rPr>
          <w:rFonts w:ascii="Arial" w:eastAsia="Arial" w:hAnsi="Arial" w:cs="Arial"/>
        </w:rPr>
        <w:t>sections 460</w:t>
      </w:r>
      <w:bookmarkEnd w:id="21"/>
      <w:r>
        <w:rPr>
          <w:rFonts w:ascii="Arial" w:eastAsia="Arial" w:hAnsi="Arial" w:cs="Arial"/>
        </w:rPr>
        <w:t xml:space="preserve"> and 1207, the retail licensee may offer spirits and malt liquor for tasting at the same time as wine;</w:t>
      </w:r>
      <w:bookmarkEnd w:id="20"/>
    </w:p>
    <w:p w:rsidR="000349FF" w:rsidP="000349FF">
      <w:pPr>
        <w:ind w:left="360" w:firstLine="360"/>
        <w:rPr>
          <w:rFonts w:ascii="Arial" w:eastAsia="Arial" w:hAnsi="Arial" w:cs="Arial"/>
        </w:rPr>
      </w:pPr>
      <w:bookmarkStart w:id="22" w:name="_BILL_SECTION_HEADER__c7380d1d_bae7_48b7"/>
      <w:bookmarkStart w:id="23" w:name="_PAR__6_de9557d8_c4c7_4e51_987e_1f2ed92c"/>
      <w:bookmarkStart w:id="24" w:name="_BILL_SECTION__32dcefd6_6802_4894_8cfb_0"/>
      <w:bookmarkEnd w:id="15"/>
      <w:bookmarkEnd w:id="18"/>
      <w:bookmarkEnd w:id="19"/>
      <w:r>
        <w:rPr>
          <w:rFonts w:ascii="Arial" w:eastAsia="Arial" w:hAnsi="Arial" w:cs="Arial"/>
          <w:b/>
          <w:sz w:val="24"/>
        </w:rPr>
        <w:t xml:space="preserve">Sec. </w:t>
      </w:r>
      <w:bookmarkStart w:id="25" w:name="_BILL_SECTION_NUMBER__fd0ca34d_5602_438d"/>
      <w:r>
        <w:rPr>
          <w:rFonts w:ascii="Arial" w:eastAsia="Arial" w:hAnsi="Arial" w:cs="Arial"/>
          <w:b/>
          <w:sz w:val="24"/>
        </w:rPr>
        <w:t>3</w:t>
      </w:r>
      <w:bookmarkEnd w:id="25"/>
      <w:r>
        <w:rPr>
          <w:rFonts w:ascii="Arial" w:eastAsia="Arial" w:hAnsi="Arial" w:cs="Arial"/>
          <w:b/>
          <w:sz w:val="24"/>
        </w:rPr>
        <w:t>.  28-A MRSA §1207, sub-§2, ¶H,</w:t>
      </w:r>
      <w:r>
        <w:rPr>
          <w:rFonts w:ascii="Arial" w:eastAsia="Arial" w:hAnsi="Arial" w:cs="Arial"/>
        </w:rPr>
        <w:t xml:space="preserve"> as amended by PL 2019, c. 79, §3, is further amended to read:</w:t>
      </w:r>
    </w:p>
    <w:p w:rsidR="00000000" w:rsidP="000349FF">
      <w:pPr>
        <w:ind w:left="720"/>
        <w:rPr>
          <w:rFonts w:ascii="Arial" w:eastAsia="Arial" w:hAnsi="Arial" w:cs="Arial"/>
        </w:rPr>
      </w:pPr>
      <w:bookmarkStart w:id="26" w:name="_STATUTE_NUMBER__d857aef7_3a88_4870_be0a"/>
      <w:bookmarkStart w:id="27" w:name="_STATUTE_P__bdcf8066_c7e8_451b_b0f4_6bf5"/>
      <w:bookmarkStart w:id="28" w:name="_PAR__7_5eebc852_3f71_4646_88cd_0517689e"/>
      <w:bookmarkEnd w:id="22"/>
      <w:bookmarkEnd w:id="23"/>
      <w:r>
        <w:rPr>
          <w:rFonts w:ascii="Arial" w:eastAsia="Arial" w:hAnsi="Arial" w:cs="Arial"/>
        </w:rPr>
        <w:t>H</w:t>
      </w:r>
      <w:bookmarkEnd w:id="26"/>
      <w:r>
        <w:rPr>
          <w:rFonts w:ascii="Arial" w:eastAsia="Arial" w:hAnsi="Arial" w:cs="Arial"/>
        </w:rPr>
        <w:t xml:space="preserve">.  </w:t>
      </w:r>
      <w:bookmarkStart w:id="29" w:name="_STATUTE_CONTENT__7259b0d5_6181_43b6_af1"/>
      <w:r>
        <w:rPr>
          <w:rFonts w:ascii="Arial" w:eastAsia="Arial" w:hAnsi="Arial" w:cs="Arial"/>
        </w:rPr>
        <w:t xml:space="preserve">The retail licensee may conduct </w:t>
      </w:r>
      <w:r>
        <w:rPr>
          <w:rFonts w:ascii="Arial" w:eastAsia="Arial" w:hAnsi="Arial" w:cs="Arial"/>
          <w:strike/>
        </w:rPr>
        <w:t>up to 15</w:t>
      </w:r>
      <w:r>
        <w:rPr>
          <w:rFonts w:ascii="Arial" w:eastAsia="Arial" w:hAnsi="Arial" w:cs="Arial"/>
        </w:rPr>
        <w:t xml:space="preserve"> </w:t>
      </w:r>
      <w:r>
        <w:rPr>
          <w:rFonts w:ascii="Arial" w:eastAsia="Arial" w:hAnsi="Arial" w:cs="Arial"/>
          <w:u w:val="single"/>
        </w:rPr>
        <w:t>an unlimited number of</w:t>
      </w:r>
      <w:r w:rsidRPr="006B3EFD">
        <w:rPr>
          <w:rFonts w:ascii="Arial" w:eastAsia="Arial" w:hAnsi="Arial" w:cs="Arial"/>
        </w:rPr>
        <w:t xml:space="preserve"> </w:t>
      </w:r>
      <w:r>
        <w:rPr>
          <w:rFonts w:ascii="Arial" w:eastAsia="Arial" w:hAnsi="Arial" w:cs="Arial"/>
        </w:rPr>
        <w:t>taste‑testing events per month</w:t>
      </w:r>
      <w:r>
        <w:rPr>
          <w:rFonts w:ascii="Arial" w:eastAsia="Arial" w:hAnsi="Arial" w:cs="Arial"/>
          <w:strike/>
        </w:rPr>
        <w:t xml:space="preserve">, including taste‑testing events conducted under </w:t>
      </w:r>
      <w:bookmarkStart w:id="30" w:name="_CROSS_REFERENCE__41c20373_431d_4122_82b"/>
      <w:r>
        <w:rPr>
          <w:rFonts w:ascii="Arial" w:eastAsia="Arial" w:hAnsi="Arial" w:cs="Arial"/>
          <w:strike/>
        </w:rPr>
        <w:t>section 460</w:t>
      </w:r>
      <w:bookmarkEnd w:id="30"/>
      <w:r>
        <w:rPr>
          <w:rFonts w:ascii="Arial" w:eastAsia="Arial" w:hAnsi="Arial" w:cs="Arial"/>
          <w:strike/>
        </w:rPr>
        <w:t xml:space="preserve"> or 1205</w:t>
      </w:r>
      <w:r>
        <w:rPr>
          <w:rFonts w:ascii="Arial" w:eastAsia="Arial" w:hAnsi="Arial" w:cs="Arial"/>
        </w:rPr>
        <w:t>.  If the retail licensee complies with the applicable requirements of sections 460 and 1205, the retail licensee may offer spirits and wine for tasting at the same time as malt liquor.</w:t>
      </w:r>
      <w:bookmarkEnd w:id="29"/>
      <w:bookmarkEnd w:id="2"/>
      <w:bookmarkEnd w:id="6"/>
      <w:bookmarkEnd w:id="24"/>
      <w:bookmarkEnd w:id="27"/>
      <w:bookmarkEnd w:id="2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LR1304,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Eliminate Limits on the Number of Taste-testing Events for Beer, Wine and Spirits</w:t>
    </w:r>
  </w:p>
  <w:p>
    <w:pPr>
      <w:suppressLineNumbers/>
      <w:spacing w:before="0" w:after="0"/>
      <w:jc w:val="center"/>
      <w:rPr>
        <w:rFonts w:ascii="Arial" w:eastAsia="Arial" w:hAnsi="Arial" w:cs="Arial"/>
      </w:rPr>
    </w:pPr>
    <w:r>
      <w:rPr>
        <w:rFonts w:ascii="Arial" w:eastAsia="Arial" w:hAnsi="Arial" w:cs="Arial"/>
        <w:sz w:val="22"/>
      </w:rPr>
      <w:t>L.D. 1272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49FF"/>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B3EFD"/>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