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Authorizing an Increase to the Maximum Annual Fund Balance for Public School Districts</w:t>
      </w:r>
    </w:p>
    <w:p w:rsidR="009673E6" w:rsidP="009673E6">
      <w:pPr>
        <w:spacing w:after="240"/>
        <w:ind w:left="360"/>
        <w:jc w:val="right"/>
        <w:rPr>
          <w:rFonts w:ascii="Arial" w:eastAsia="Arial" w:hAnsi="Arial" w:cs="Arial"/>
          <w:caps/>
        </w:rPr>
      </w:pPr>
      <w:bookmarkStart w:id="0" w:name="_AMEND_TITLE__9d563079_1bdb_4d2f_a73b_d0"/>
      <w:bookmarkStart w:id="1" w:name="_PAGE__1_4fe254a4_9a43_4b67_bc99_c404c8b"/>
      <w:bookmarkStart w:id="2" w:name="_PAR__2_1205cfc5_a613_43a8_9e92_d62ac229"/>
      <w:r>
        <w:rPr>
          <w:rFonts w:ascii="Arial" w:eastAsia="Arial" w:hAnsi="Arial" w:cs="Arial"/>
          <w:caps/>
        </w:rPr>
        <w:t>L.D. 1198</w:t>
      </w:r>
    </w:p>
    <w:p w:rsidR="009673E6" w:rsidP="009673E6">
      <w:pPr>
        <w:tabs>
          <w:tab w:val="right" w:pos="8928"/>
        </w:tabs>
        <w:spacing w:after="360"/>
        <w:ind w:left="360"/>
        <w:rPr>
          <w:rFonts w:ascii="Arial" w:eastAsia="Arial" w:hAnsi="Arial" w:cs="Arial"/>
        </w:rPr>
      </w:pPr>
      <w:bookmarkStart w:id="3" w:name="_PAR__3_686e57b4_6e34_4a2d_87ea_ade61f5c"/>
      <w:bookmarkEnd w:id="2"/>
      <w:r>
        <w:rPr>
          <w:rFonts w:ascii="Arial" w:eastAsia="Arial" w:hAnsi="Arial" w:cs="Arial"/>
        </w:rPr>
        <w:t>Date:</w:t>
      </w:r>
      <w:r>
        <w:rPr>
          <w:rFonts w:ascii="Arial" w:eastAsia="Arial" w:hAnsi="Arial" w:cs="Arial"/>
        </w:rPr>
        <w:tab/>
        <w:t>(Filing No. H-         )</w:t>
      </w:r>
    </w:p>
    <w:p w:rsidR="009673E6" w:rsidP="009673E6">
      <w:pPr>
        <w:spacing w:before="600" w:after="300"/>
        <w:ind w:left="360"/>
        <w:jc w:val="center"/>
        <w:outlineLvl w:val="0"/>
        <w:rPr>
          <w:rFonts w:ascii="Arial" w:eastAsia="Arial" w:hAnsi="Arial" w:cs="Arial"/>
        </w:rPr>
      </w:pPr>
      <w:bookmarkStart w:id="4" w:name="_PAR__4_4cae6a0e_b6b4_42c2_9017_a3895090"/>
      <w:bookmarkEnd w:id="3"/>
      <w:r>
        <w:rPr>
          <w:rFonts w:ascii="Arial" w:eastAsia="Arial" w:hAnsi="Arial" w:cs="Arial"/>
          <w:b/>
          <w:caps/>
          <w:sz w:val="24"/>
          <w:szCs w:val="32"/>
        </w:rPr>
        <w:t xml:space="preserve">Education and Cultural Affairs </w:t>
      </w:r>
    </w:p>
    <w:p w:rsidR="009673E6" w:rsidP="009673E6">
      <w:pPr>
        <w:spacing w:before="60" w:after="60"/>
        <w:ind w:left="720"/>
        <w:rPr>
          <w:rFonts w:ascii="Arial" w:eastAsia="Arial" w:hAnsi="Arial" w:cs="Arial"/>
        </w:rPr>
      </w:pPr>
      <w:bookmarkStart w:id="5" w:name="_PAR__5_72cdc5f6_689c_41ec_b02b_e0f0157d"/>
      <w:bookmarkEnd w:id="4"/>
      <w:r>
        <w:rPr>
          <w:rFonts w:ascii="Arial" w:eastAsia="Arial" w:hAnsi="Arial" w:cs="Arial"/>
        </w:rPr>
        <w:t>Reproduced and distributed under the direction of the Clerk of the House.</w:t>
      </w:r>
    </w:p>
    <w:p w:rsidR="009673E6" w:rsidP="009673E6">
      <w:pPr>
        <w:spacing w:before="160" w:after="0"/>
        <w:ind w:left="360"/>
        <w:jc w:val="center"/>
        <w:outlineLvl w:val="0"/>
        <w:rPr>
          <w:rFonts w:ascii="Arial" w:eastAsia="Arial" w:hAnsi="Arial" w:cs="Arial"/>
          <w:b/>
          <w:caps/>
          <w:sz w:val="24"/>
          <w:szCs w:val="32"/>
        </w:rPr>
      </w:pPr>
      <w:bookmarkStart w:id="6" w:name="_PAR__6_3464c96a_251a_4c91_8fec_495218f1"/>
      <w:bookmarkEnd w:id="5"/>
      <w:r>
        <w:rPr>
          <w:rFonts w:ascii="Arial" w:eastAsia="Arial" w:hAnsi="Arial" w:cs="Arial"/>
          <w:b/>
          <w:caps/>
          <w:sz w:val="24"/>
          <w:szCs w:val="32"/>
        </w:rPr>
        <w:t>STATE OF MAINE</w:t>
      </w:r>
    </w:p>
    <w:p w:rsidR="009673E6" w:rsidP="009673E6">
      <w:pPr>
        <w:spacing w:after="0"/>
        <w:ind w:left="360"/>
        <w:jc w:val="center"/>
        <w:outlineLvl w:val="0"/>
        <w:rPr>
          <w:rFonts w:ascii="Arial" w:eastAsia="Arial" w:hAnsi="Arial" w:cs="Arial"/>
          <w:b/>
          <w:caps/>
          <w:sz w:val="24"/>
          <w:szCs w:val="32"/>
        </w:rPr>
      </w:pPr>
      <w:bookmarkStart w:id="7" w:name="_PAR__7_58687f30_9d80_465d_a33e_e07d482a"/>
      <w:bookmarkEnd w:id="6"/>
      <w:r>
        <w:rPr>
          <w:rFonts w:ascii="Arial" w:eastAsia="Arial" w:hAnsi="Arial" w:cs="Arial"/>
          <w:b/>
          <w:caps/>
          <w:sz w:val="24"/>
          <w:szCs w:val="32"/>
        </w:rPr>
        <w:t>HOUSE OF REPRESENTATIVES</w:t>
      </w:r>
    </w:p>
    <w:p w:rsidR="009673E6" w:rsidP="009673E6">
      <w:pPr>
        <w:spacing w:after="0"/>
        <w:ind w:left="360"/>
        <w:jc w:val="center"/>
        <w:outlineLvl w:val="0"/>
        <w:rPr>
          <w:rFonts w:ascii="Arial" w:eastAsia="Arial" w:hAnsi="Arial" w:cs="Arial"/>
          <w:b/>
          <w:caps/>
          <w:sz w:val="24"/>
          <w:szCs w:val="32"/>
        </w:rPr>
      </w:pPr>
      <w:bookmarkStart w:id="8" w:name="_PAR__8_97c4016d_4f71_4957_9fb9_06173dd7"/>
      <w:bookmarkEnd w:id="7"/>
      <w:r>
        <w:rPr>
          <w:rFonts w:ascii="Arial" w:eastAsia="Arial" w:hAnsi="Arial" w:cs="Arial"/>
          <w:b/>
          <w:caps/>
          <w:sz w:val="24"/>
          <w:szCs w:val="32"/>
        </w:rPr>
        <w:t>130th Legislature</w:t>
      </w:r>
    </w:p>
    <w:p w:rsidR="009673E6" w:rsidP="009673E6">
      <w:pPr>
        <w:spacing w:after="0"/>
        <w:ind w:left="360"/>
        <w:jc w:val="center"/>
        <w:outlineLvl w:val="0"/>
        <w:rPr>
          <w:rFonts w:ascii="Arial" w:eastAsia="Arial" w:hAnsi="Arial" w:cs="Arial"/>
          <w:b/>
          <w:caps/>
          <w:sz w:val="24"/>
          <w:szCs w:val="32"/>
        </w:rPr>
      </w:pPr>
      <w:bookmarkStart w:id="9" w:name="_PAR__9_22a7b316_81e0_4419_8f38_5b6b41c7"/>
      <w:bookmarkEnd w:id="8"/>
      <w:r>
        <w:rPr>
          <w:rFonts w:ascii="Arial" w:eastAsia="Arial" w:hAnsi="Arial" w:cs="Arial"/>
          <w:b/>
          <w:caps/>
          <w:sz w:val="24"/>
          <w:szCs w:val="32"/>
        </w:rPr>
        <w:t>First Special Session</w:t>
      </w:r>
    </w:p>
    <w:p w:rsidR="009673E6" w:rsidP="009673E6">
      <w:pPr>
        <w:spacing w:before="400" w:after="200"/>
        <w:ind w:left="360" w:firstLine="360"/>
        <w:rPr>
          <w:rFonts w:ascii="Arial" w:eastAsia="Arial" w:hAnsi="Arial" w:cs="Arial"/>
        </w:rPr>
      </w:pPr>
      <w:bookmarkStart w:id="10" w:name="_PAR__10_5e559ea1_efa0_4a2d_a6a6_fd7cf5b"/>
      <w:bookmarkEnd w:id="9"/>
      <w:r>
        <w:rPr>
          <w:rFonts w:ascii="Arial" w:eastAsia="Arial" w:hAnsi="Arial" w:cs="Arial"/>
          <w:szCs w:val="22"/>
        </w:rPr>
        <w:t>COMMITTEE AMENDMENT “      ” to H.P. 876, L.D. 1198, “An Act Authorizing an Increase to the Maximum Annual Fund Balance for Public School Districts”</w:t>
      </w:r>
    </w:p>
    <w:p w:rsidR="009673E6" w:rsidP="009673E6">
      <w:pPr>
        <w:ind w:left="360" w:firstLine="360"/>
        <w:rPr>
          <w:rFonts w:ascii="Arial" w:eastAsia="Arial" w:hAnsi="Arial" w:cs="Arial"/>
        </w:rPr>
      </w:pPr>
      <w:bookmarkStart w:id="11" w:name="_INSTRUCTION__dd0ee7f1_a38c_45f9_8aac_1c"/>
      <w:bookmarkStart w:id="12" w:name="_PAR__11_ccd32b38_7dbc_4d80_b412_f013a7a"/>
      <w:bookmarkEnd w:id="0"/>
      <w:bookmarkEnd w:id="10"/>
      <w:r>
        <w:rPr>
          <w:rFonts w:ascii="Arial" w:eastAsia="Arial" w:hAnsi="Arial" w:cs="Arial"/>
        </w:rPr>
        <w:t>Amend the bill by striking out everything after the enacting clause and inserting the following:</w:t>
      </w:r>
    </w:p>
    <w:p w:rsidR="009673E6" w:rsidP="009673E6">
      <w:pPr>
        <w:ind w:left="360" w:firstLine="360"/>
        <w:rPr>
          <w:rFonts w:ascii="Arial" w:eastAsia="Arial" w:hAnsi="Arial" w:cs="Arial"/>
        </w:rPr>
      </w:pPr>
      <w:bookmarkStart w:id="13" w:name="_PAR__12_49856159_aebf_4c46_8e66_d62b6e5"/>
      <w:bookmarkEnd w:id="12"/>
      <w:r>
        <w:rPr>
          <w:rFonts w:ascii="Arial" w:eastAsia="Arial" w:hAnsi="Arial" w:cs="Arial"/>
        </w:rPr>
        <w:t>'</w:t>
      </w:r>
      <w:r>
        <w:rPr>
          <w:rFonts w:ascii="Arial" w:eastAsia="Arial" w:hAnsi="Arial" w:cs="Arial"/>
          <w:b/>
          <w:sz w:val="24"/>
        </w:rPr>
        <w:t>Sec. 1.  20-A MRSA §15689-B, sub-§6,</w:t>
      </w:r>
      <w:r>
        <w:rPr>
          <w:rFonts w:ascii="Arial" w:eastAsia="Arial" w:hAnsi="Arial" w:cs="Arial"/>
        </w:rPr>
        <w:t xml:space="preserve"> as amended by PL 2009, c. 571, Pt. XXX, §1, is further amended to read:</w:t>
      </w:r>
    </w:p>
    <w:p w:rsidR="009673E6" w:rsidP="009673E6">
      <w:pPr>
        <w:ind w:left="360" w:firstLine="360"/>
        <w:rPr>
          <w:rFonts w:ascii="Arial" w:eastAsia="Arial" w:hAnsi="Arial" w:cs="Arial"/>
        </w:rPr>
      </w:pPr>
      <w:bookmarkStart w:id="14" w:name="_PAR__13_9027ca32_cc21_4c5e_b385_c63d3dd"/>
      <w:bookmarkEnd w:id="13"/>
      <w:r>
        <w:rPr>
          <w:rFonts w:ascii="Arial" w:eastAsia="Arial" w:hAnsi="Arial" w:cs="Arial"/>
          <w:b/>
        </w:rPr>
        <w:t xml:space="preserve">6.  Balance of allocations. </w:t>
      </w:r>
      <w:r>
        <w:rPr>
          <w:rFonts w:ascii="Arial" w:eastAsia="Arial" w:hAnsi="Arial" w:cs="Arial"/>
        </w:rPr>
        <w:t xml:space="preserve"> Notwithstanding any other law, general operating fund balances at the end of a school administrative unit's fiscal year must be carried forward to meet the unit's needs in the next year or over a period not to exceed 3 years.  Unallocated balances in excess of </w:t>
      </w:r>
      <w:r>
        <w:rPr>
          <w:rFonts w:ascii="Arial" w:eastAsia="Arial" w:hAnsi="Arial" w:cs="Arial"/>
          <w:strike/>
        </w:rPr>
        <w:t>3%</w:t>
      </w:r>
      <w:r>
        <w:rPr>
          <w:rFonts w:ascii="Arial" w:eastAsia="Arial" w:hAnsi="Arial" w:cs="Arial"/>
        </w:rPr>
        <w:t xml:space="preserve"> </w:t>
      </w:r>
      <w:r>
        <w:rPr>
          <w:rFonts w:ascii="Arial" w:eastAsia="Arial" w:hAnsi="Arial" w:cs="Arial"/>
          <w:u w:val="single"/>
        </w:rPr>
        <w:t>5%</w:t>
      </w:r>
      <w:r>
        <w:rPr>
          <w:rFonts w:ascii="Arial" w:eastAsia="Arial" w:hAnsi="Arial" w:cs="Arial"/>
        </w:rPr>
        <w:t xml:space="preserve"> of the previous fiscal year's school budget must be used to reduce the state and local share of the total allocation for the purpose of computing state subsidy.  School boards may carry forward unallocated balances in excess of </w:t>
      </w:r>
      <w:r>
        <w:rPr>
          <w:rFonts w:ascii="Arial" w:eastAsia="Arial" w:hAnsi="Arial" w:cs="Arial"/>
          <w:strike/>
        </w:rPr>
        <w:t>3%</w:t>
      </w:r>
      <w:r>
        <w:rPr>
          <w:rFonts w:ascii="Arial" w:eastAsia="Arial" w:hAnsi="Arial" w:cs="Arial"/>
        </w:rPr>
        <w:t xml:space="preserve"> </w:t>
      </w:r>
      <w:r>
        <w:rPr>
          <w:rFonts w:ascii="Arial" w:eastAsia="Arial" w:hAnsi="Arial" w:cs="Arial"/>
          <w:u w:val="single"/>
        </w:rPr>
        <w:t>5%</w:t>
      </w:r>
      <w:r>
        <w:rPr>
          <w:rFonts w:ascii="Arial" w:eastAsia="Arial" w:hAnsi="Arial" w:cs="Arial"/>
        </w:rPr>
        <w:t xml:space="preserve"> of the previous year's school budget and disburse these funds in the next year or over a period not to exceed 3 years.  </w:t>
      </w:r>
      <w:r>
        <w:rPr>
          <w:rFonts w:ascii="Arial" w:eastAsia="Arial" w:hAnsi="Arial" w:cs="Arial"/>
          <w:strike/>
        </w:rPr>
        <w:t>For fiscal years 2008-09, 2009-10, 2010-11, 2011-12, 2012-13, 2013-14 and 2014-15 only, the carry-forward of a school administrative unit's unallocated balances is not limited to 3% of the previous fiscal year's school budget.</w:t>
      </w:r>
      <w:r>
        <w:rPr>
          <w:rFonts w:ascii="Arial" w:eastAsia="Arial" w:hAnsi="Arial" w:cs="Arial"/>
        </w:rPr>
        <w:t xml:space="preserve"> </w:t>
      </w:r>
      <w:r>
        <w:rPr>
          <w:rFonts w:ascii="Arial" w:eastAsia="Arial" w:hAnsi="Arial" w:cs="Arial"/>
          <w:u w:val="single"/>
        </w:rPr>
        <w:t>For fiscal years 2021-22, 2022-23, 2023-24 and 2024-25 only, unallocated balances in excess of 9% of the previous fiscal year's school budget must be used to reduce the state and local share of the total allocation for the purpose of computing state subsidy and school boards may carry forward unallocated balances in excess of 9% of the previous fiscal year's school budget and disburse these funds in the next year or over a period not to exceed 3 years.</w:t>
      </w:r>
      <w:r>
        <w:rPr>
          <w:rFonts w:ascii="Arial" w:eastAsia="Arial" w:hAnsi="Arial" w:cs="Arial"/>
        </w:rPr>
        <w:t>'</w:t>
      </w:r>
    </w:p>
    <w:p w:rsidR="009673E6" w:rsidP="009673E6">
      <w:pPr>
        <w:ind w:left="360" w:firstLine="360"/>
        <w:rPr>
          <w:rFonts w:ascii="Arial" w:eastAsia="Arial" w:hAnsi="Arial" w:cs="Arial"/>
        </w:rPr>
      </w:pPr>
      <w:bookmarkStart w:id="15" w:name="_INSTRUCTION__9172d50b_ac62_45c0_a15f_6a"/>
      <w:bookmarkStart w:id="16" w:name="_PAR__14_97ca177b_daeb_4661_900d_2e64770"/>
      <w:bookmarkEnd w:id="11"/>
      <w:bookmarkEnd w:id="14"/>
      <w:r>
        <w:rPr>
          <w:rFonts w:ascii="Arial" w:eastAsia="Arial" w:hAnsi="Arial" w:cs="Arial"/>
        </w:rPr>
        <w:t>Amend the bill by relettering or renumbering any nonconsecutive Part letter or section number to read consecutively.</w:t>
      </w:r>
    </w:p>
    <w:p w:rsidR="009673E6" w:rsidP="009673E6">
      <w:pPr>
        <w:keepNext/>
        <w:spacing w:before="240"/>
        <w:ind w:left="360"/>
        <w:jc w:val="center"/>
        <w:rPr>
          <w:rFonts w:ascii="Arial" w:eastAsia="Arial" w:hAnsi="Arial" w:cs="Arial"/>
        </w:rPr>
      </w:pPr>
      <w:bookmarkStart w:id="17" w:name="_SUMMARY__47082604_192a_455f_891f_191e54"/>
      <w:bookmarkStart w:id="18" w:name="_PAR__15_91144b61_6552_4237_9b05_babf640"/>
      <w:bookmarkEnd w:id="15"/>
      <w:bookmarkEnd w:id="16"/>
      <w:r>
        <w:rPr>
          <w:rFonts w:ascii="Arial" w:eastAsia="Arial" w:hAnsi="Arial" w:cs="Arial"/>
          <w:b/>
          <w:sz w:val="24"/>
        </w:rPr>
        <w:t>SUMMARY</w:t>
      </w:r>
    </w:p>
    <w:p w:rsidR="00000000" w:rsidP="009673E6">
      <w:pPr>
        <w:ind w:left="360" w:firstLine="360"/>
        <w:rPr>
          <w:rFonts w:ascii="Arial" w:eastAsia="Arial" w:hAnsi="Arial" w:cs="Arial"/>
        </w:rPr>
      </w:pPr>
      <w:bookmarkStart w:id="19" w:name="_PAR__16_fabb3d76_165e_4eff_b7cd_e553669"/>
      <w:bookmarkEnd w:id="18"/>
      <w:r w:rsidRPr="00C62FB9">
        <w:rPr>
          <w:rFonts w:ascii="Arial" w:eastAsia="Arial" w:hAnsi="Arial" w:cs="Arial"/>
        </w:rPr>
        <w:t>This amendment, which is the majority report of the committee, allows school boards to carry</w:t>
      </w:r>
      <w:r>
        <w:rPr>
          <w:rFonts w:ascii="Arial" w:eastAsia="Arial" w:hAnsi="Arial" w:cs="Arial"/>
        </w:rPr>
        <w:t xml:space="preserve"> forward</w:t>
      </w:r>
      <w:r w:rsidRPr="00C62FB9">
        <w:rPr>
          <w:rFonts w:ascii="Arial" w:eastAsia="Arial" w:hAnsi="Arial" w:cs="Arial"/>
        </w:rPr>
        <w:t xml:space="preserve"> 5% of the previous year’s school budget without reduction of the state and local share of the total allocation for the purpose of computing state subsidy. It allows </w:t>
      </w:r>
      <w:bookmarkStart w:id="20" w:name="_PAGE_SPLIT__a0228aaf_dccc_4556_b0ea_264"/>
      <w:bookmarkStart w:id="21" w:name="_PAGE__2_db70ece9_20da_4659_8e82_8037ed6"/>
      <w:bookmarkStart w:id="22" w:name="_PAR__2_3d823d87_6ff0_437d_812b_3318902b"/>
      <w:bookmarkEnd w:id="1"/>
      <w:bookmarkEnd w:id="19"/>
      <w:r w:rsidRPr="00C62FB9">
        <w:rPr>
          <w:rFonts w:ascii="Arial" w:eastAsia="Arial" w:hAnsi="Arial" w:cs="Arial"/>
        </w:rPr>
        <w:t>s</w:t>
      </w:r>
      <w:bookmarkEnd w:id="20"/>
      <w:r w:rsidRPr="00C62FB9">
        <w:rPr>
          <w:rFonts w:ascii="Arial" w:eastAsia="Arial" w:hAnsi="Arial" w:cs="Arial"/>
        </w:rPr>
        <w:t>chool boards to carry forward unallocated balances in excess of 5% of the previous year's school budget and disburse these funds in the next year or over a period not to exceed 3 years.  For fiscal years 2021-22, 2022-23, 2023-24 and 2024-25, the carry</w:t>
      </w:r>
      <w:r>
        <w:rPr>
          <w:rFonts w:ascii="Arial" w:eastAsia="Arial" w:hAnsi="Arial" w:cs="Arial"/>
        </w:rPr>
        <w:t>-</w:t>
      </w:r>
      <w:r w:rsidRPr="00C62FB9">
        <w:rPr>
          <w:rFonts w:ascii="Arial" w:eastAsia="Arial" w:hAnsi="Arial" w:cs="Arial"/>
        </w:rPr>
        <w:t>forward limit is established at 9%.</w:t>
      </w:r>
      <w:bookmarkEnd w:id="17"/>
      <w:bookmarkEnd w:id="21"/>
      <w:bookmarkEnd w:id="2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LR0605,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Authorizing an Increase to the Maximum Annual Fund Balance for Public School Districts</w:t>
    </w:r>
  </w:p>
  <w:p>
    <w:pPr>
      <w:suppressLineNumbers/>
      <w:spacing w:before="0" w:after="0"/>
      <w:jc w:val="center"/>
      <w:rPr>
        <w:rFonts w:ascii="Arial" w:eastAsia="Arial" w:hAnsi="Arial" w:cs="Arial"/>
      </w:rPr>
    </w:pPr>
    <w:r>
      <w:rPr>
        <w:rFonts w:ascii="Arial" w:eastAsia="Arial" w:hAnsi="Arial" w:cs="Arial"/>
        <w:sz w:val="22"/>
      </w:rPr>
      <w:t>L.D. 1198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673E6"/>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62FB9"/>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