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the Rights of Certain Incarcerated Individuals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772 - L.D. 1044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Protect the Rights of Certain Incarcerated Individuals</w:t>
      </w:r>
    </w:p>
    <w:p w:rsidR="00EB575D" w:rsidP="00EB575D">
      <w:pPr>
        <w:ind w:left="360"/>
        <w:rPr>
          <w:rFonts w:ascii="Arial" w:eastAsia="Arial" w:hAnsi="Arial" w:cs="Arial"/>
        </w:rPr>
      </w:pPr>
      <w:bookmarkStart w:id="0" w:name="_ENACTING_CLAUSE__446ed02b_de86_459a_9fe"/>
      <w:bookmarkStart w:id="1" w:name="_PAR__1_952e75b1_d0ce_4cf4_a0c6_541e5b67"/>
      <w:bookmarkStart w:id="2" w:name="_DOC_BODY_CONTAINER__823a48b1_3928_4064_"/>
      <w:r>
        <w:rPr>
          <w:rFonts w:ascii="Arial" w:eastAsia="Arial" w:hAnsi="Arial" w:cs="Arial"/>
          <w:b/>
        </w:rPr>
        <w:t>Be it enacted by the People of the State of Maine as follows:</w:t>
      </w:r>
    </w:p>
    <w:p w:rsidR="00EB575D" w:rsidP="00EB575D">
      <w:pPr>
        <w:ind w:left="360" w:firstLine="360"/>
        <w:rPr>
          <w:rFonts w:ascii="Arial" w:eastAsia="Arial" w:hAnsi="Arial" w:cs="Arial"/>
        </w:rPr>
      </w:pPr>
      <w:bookmarkStart w:id="3" w:name="_BILL_SECTION_HEADER__6ec3619c_55cd_40ec"/>
      <w:bookmarkStart w:id="4" w:name="_BILL_SECTION__d06fe006_892a_43ed_a6b0_5"/>
      <w:bookmarkStart w:id="5" w:name="_INSTRUCTION__268457b8_98e1_4940_8493_38"/>
      <w:bookmarkStart w:id="6" w:name="_DOC_BODY_CONTENT__e1ab3958_025a_4b8c_a4"/>
      <w:bookmarkEnd w:id="0"/>
      <w:bookmarkEnd w:id="1"/>
      <w:r>
        <w:rPr>
          <w:rFonts w:ascii="Arial" w:eastAsia="Arial" w:hAnsi="Arial" w:cs="Arial"/>
          <w:b/>
          <w:sz w:val="24"/>
        </w:rPr>
        <w:t xml:space="preserve">Sec. </w:t>
      </w:r>
      <w:bookmarkStart w:id="7" w:name="_BILL_SECTION_NUMBER__cdf3eff6_0ad3_4d24"/>
      <w:r>
        <w:rPr>
          <w:rFonts w:ascii="Arial" w:eastAsia="Arial" w:hAnsi="Arial" w:cs="Arial"/>
          <w:b/>
          <w:sz w:val="24"/>
        </w:rPr>
        <w:t>1</w:t>
      </w:r>
      <w:bookmarkEnd w:id="7"/>
      <w:r>
        <w:rPr>
          <w:rFonts w:ascii="Arial" w:eastAsia="Arial" w:hAnsi="Arial" w:cs="Arial"/>
          <w:b/>
          <w:sz w:val="24"/>
        </w:rPr>
        <w:t>.  34-A MRSA §1208-B, sub-§2,</w:t>
      </w:r>
      <w:r>
        <w:rPr>
          <w:rFonts w:ascii="Arial" w:eastAsia="Arial" w:hAnsi="Arial" w:cs="Arial"/>
        </w:rPr>
        <w:t xml:space="preserve"> as enacted by PL 2015, c. 335, §22, is amended to read:</w:t>
      </w:r>
    </w:p>
    <w:p w:rsidR="00EB575D" w:rsidP="00EB575D">
      <w:pPr>
        <w:ind w:left="360" w:firstLine="360"/>
        <w:rPr>
          <w:rFonts w:ascii="Arial" w:eastAsia="Arial" w:hAnsi="Arial" w:cs="Arial"/>
        </w:rPr>
      </w:pPr>
      <w:bookmarkStart w:id="8" w:name="_STATUTE_NUMBER__0c3477af_4a69_4526_b76e"/>
      <w:bookmarkStart w:id="9" w:name="_STATUTE_SS__9179aa7e_7312_4baf_b1d1_c6c"/>
      <w:bookmarkEnd w:id="3"/>
      <w:r>
        <w:rPr>
          <w:rFonts w:ascii="Arial" w:eastAsia="Arial" w:hAnsi="Arial" w:cs="Arial"/>
          <w:b/>
        </w:rPr>
        <w:t>2</w:t>
      </w:r>
      <w:bookmarkEnd w:id="8"/>
      <w:r>
        <w:rPr>
          <w:rFonts w:ascii="Arial" w:eastAsia="Arial" w:hAnsi="Arial" w:cs="Arial"/>
          <w:b/>
        </w:rPr>
        <w:t xml:space="preserve">.  </w:t>
      </w:r>
      <w:bookmarkStart w:id="10" w:name="_STATUTE_HEADNOTE__d9d4818f_a443_403e_ae"/>
      <w:r>
        <w:rPr>
          <w:rFonts w:ascii="Arial" w:eastAsia="Arial" w:hAnsi="Arial" w:cs="Arial"/>
          <w:b/>
        </w:rPr>
        <w:t>Rulemaking.</w:t>
      </w:r>
      <w:bookmarkEnd w:id="10"/>
      <w:r>
        <w:rPr>
          <w:rFonts w:ascii="Arial" w:eastAsia="Arial" w:hAnsi="Arial" w:cs="Arial"/>
          <w:b/>
        </w:rPr>
        <w:t xml:space="preserve"> </w:t>
      </w:r>
      <w:r>
        <w:rPr>
          <w:rFonts w:ascii="Arial" w:eastAsia="Arial" w:hAnsi="Arial" w:cs="Arial"/>
        </w:rPr>
        <w:t xml:space="preserve"> </w:t>
      </w:r>
      <w:bookmarkStart w:id="11" w:name="_STATUTE_CONTENT__0ae29ff6_d527_479a_802"/>
      <w:r>
        <w:rPr>
          <w:rFonts w:ascii="Arial" w:eastAsia="Arial" w:hAnsi="Arial" w:cs="Arial"/>
        </w:rPr>
        <w:t xml:space="preserve">Rules adopted pursuant to this section are routine technical rules as defined by </w:t>
      </w:r>
      <w:bookmarkStart w:id="12" w:name="_CROSS_REFERENCE__2fa5ca07_030b_4cc2_a19"/>
      <w:r>
        <w:rPr>
          <w:rFonts w:ascii="Arial" w:eastAsia="Arial" w:hAnsi="Arial" w:cs="Arial"/>
        </w:rPr>
        <w:t>Title 5, chapter 375, subchapter 2‑A</w:t>
      </w:r>
      <w:bookmarkEnd w:id="12"/>
      <w:r>
        <w:rPr>
          <w:rFonts w:ascii="Arial" w:eastAsia="Arial" w:hAnsi="Arial" w:cs="Arial"/>
        </w:rPr>
        <w:t xml:space="preserve">.  </w:t>
      </w:r>
      <w:bookmarkStart w:id="13" w:name="_REV__ef1dc08e_1d38_417a_87a4_0e89251c9c"/>
      <w:r>
        <w:rPr>
          <w:rFonts w:ascii="Arial" w:eastAsia="Arial" w:hAnsi="Arial" w:cs="Arial"/>
          <w:strike/>
        </w:rPr>
        <w:t>Rules adopted pursuant to this section must take effect January 1, 2016.</w:t>
      </w:r>
      <w:bookmarkEnd w:id="11"/>
      <w:bookmarkEnd w:id="13"/>
    </w:p>
    <w:p w:rsidR="00EB575D" w:rsidP="00EB575D">
      <w:pPr>
        <w:ind w:left="360" w:firstLine="360"/>
        <w:rPr>
          <w:rFonts w:ascii="Arial" w:eastAsia="Arial" w:hAnsi="Arial" w:cs="Arial"/>
        </w:rPr>
      </w:pPr>
      <w:bookmarkStart w:id="14" w:name="_BILL_SECTION_HEADER__1c8fe01c_6ec6_409d"/>
      <w:bookmarkStart w:id="15" w:name="_BILL_SECTION__a5d7b051_8332_44e2_8fcc_a"/>
      <w:bookmarkEnd w:id="4"/>
      <w:bookmarkEnd w:id="9"/>
      <w:r>
        <w:rPr>
          <w:rFonts w:ascii="Arial" w:eastAsia="Arial" w:hAnsi="Arial" w:cs="Arial"/>
          <w:b/>
          <w:sz w:val="24"/>
        </w:rPr>
        <w:t xml:space="preserve">Sec. </w:t>
      </w:r>
      <w:bookmarkStart w:id="16" w:name="_BILL_SECTION_NUMBER__cd35927a_0771_4be1"/>
      <w:r>
        <w:rPr>
          <w:rFonts w:ascii="Arial" w:eastAsia="Arial" w:hAnsi="Arial" w:cs="Arial"/>
          <w:b/>
          <w:sz w:val="24"/>
        </w:rPr>
        <w:t>2</w:t>
      </w:r>
      <w:bookmarkEnd w:id="16"/>
      <w:r>
        <w:rPr>
          <w:rFonts w:ascii="Arial" w:eastAsia="Arial" w:hAnsi="Arial" w:cs="Arial"/>
          <w:b/>
          <w:sz w:val="24"/>
        </w:rPr>
        <w:t>.  34-A MRSA §1208-B, sub-§3</w:t>
      </w:r>
      <w:r>
        <w:rPr>
          <w:rFonts w:ascii="Arial" w:eastAsia="Arial" w:hAnsi="Arial" w:cs="Arial"/>
        </w:rPr>
        <w:t xml:space="preserve"> is enacted to read:</w:t>
      </w:r>
    </w:p>
    <w:p w:rsidR="00EB575D" w:rsidP="00EB575D">
      <w:pPr>
        <w:ind w:left="360" w:firstLine="360"/>
        <w:rPr>
          <w:rFonts w:ascii="Arial" w:eastAsia="Arial" w:hAnsi="Arial" w:cs="Arial"/>
        </w:rPr>
      </w:pPr>
      <w:bookmarkStart w:id="17" w:name="_STATUTE_NUMBER__bbafb1e9_0bec_47aa_aa71"/>
      <w:bookmarkStart w:id="18" w:name="_STATUTE_SS__16d048a7_0018_4c57_b3c4_e48"/>
      <w:bookmarkStart w:id="19" w:name="_REV__8ab2717e_01f2_4b55_a236_8301e5b73d"/>
      <w:bookmarkStart w:id="20" w:name="_PROCESSED_CHANGE__65f38758_c1d5_4038_9e"/>
      <w:bookmarkStart w:id="21" w:name="_PROCESSED_CHANGE__b2fe37c2_e91c_4d92_aa"/>
      <w:bookmarkEnd w:id="14"/>
      <w:r>
        <w:rPr>
          <w:rFonts w:ascii="Arial" w:eastAsia="Arial" w:hAnsi="Arial" w:cs="Arial"/>
          <w:b/>
          <w:u w:val="single"/>
        </w:rPr>
        <w:t>3</w:t>
      </w:r>
      <w:bookmarkEnd w:id="17"/>
      <w:r>
        <w:rPr>
          <w:rFonts w:ascii="Arial" w:eastAsia="Arial" w:hAnsi="Arial" w:cs="Arial"/>
          <w:b/>
          <w:u w:val="single"/>
        </w:rPr>
        <w:t xml:space="preserve">.  </w:t>
      </w:r>
      <w:bookmarkStart w:id="22" w:name="_STATUTE_HEADNOTE__b1506acc_4a15_4d24_b3"/>
      <w:r>
        <w:rPr>
          <w:rFonts w:ascii="Arial" w:eastAsia="Arial" w:hAnsi="Arial" w:cs="Arial"/>
          <w:b/>
          <w:u w:val="single"/>
        </w:rPr>
        <w:t xml:space="preserve">Gender affirmation. </w:t>
      </w:r>
      <w:r>
        <w:rPr>
          <w:rFonts w:ascii="Arial" w:eastAsia="Arial" w:hAnsi="Arial" w:cs="Arial"/>
          <w:u w:val="single"/>
        </w:rPr>
        <w:t xml:space="preserve"> </w:t>
      </w:r>
      <w:bookmarkStart w:id="23" w:name="_STATUTE_CONTENT__e70efd99_c2d7_4be4_99d"/>
      <w:bookmarkEnd w:id="22"/>
      <w:r>
        <w:rPr>
          <w:rFonts w:ascii="Arial" w:eastAsia="Arial" w:hAnsi="Arial" w:cs="Arial"/>
          <w:u w:val="single"/>
        </w:rPr>
        <w:t xml:space="preserve">The standards, policies and procedures </w:t>
      </w:r>
      <w:r>
        <w:rPr>
          <w:rFonts w:ascii="Arial" w:eastAsia="Arial" w:hAnsi="Arial" w:cs="Arial"/>
          <w:u w:val="single"/>
        </w:rPr>
        <w:t xml:space="preserve">established pursuant to this section </w:t>
      </w:r>
      <w:r>
        <w:rPr>
          <w:rFonts w:ascii="Arial" w:eastAsia="Arial" w:hAnsi="Arial" w:cs="Arial"/>
          <w:u w:val="single"/>
        </w:rPr>
        <w:t>for the county jails and regional jail must require the jail</w:t>
      </w:r>
      <w:r>
        <w:rPr>
          <w:rFonts w:ascii="Arial" w:eastAsia="Arial" w:hAnsi="Arial" w:cs="Arial"/>
          <w:u w:val="single"/>
        </w:rPr>
        <w:t>s</w:t>
      </w:r>
      <w:r>
        <w:rPr>
          <w:rFonts w:ascii="Arial" w:eastAsia="Arial" w:hAnsi="Arial" w:cs="Arial"/>
          <w:u w:val="single"/>
        </w:rPr>
        <w:t xml:space="preserve"> to respect and acknowledge a</w:t>
      </w:r>
      <w:r>
        <w:rPr>
          <w:rFonts w:ascii="Arial" w:eastAsia="Arial" w:hAnsi="Arial" w:cs="Arial"/>
          <w:u w:val="single"/>
        </w:rPr>
        <w:t>n incarcerated</w:t>
      </w:r>
      <w:r>
        <w:rPr>
          <w:rFonts w:ascii="Arial" w:eastAsia="Arial" w:hAnsi="Arial" w:cs="Arial"/>
          <w:u w:val="single"/>
        </w:rPr>
        <w:t xml:space="preserve"> person's consistently held gender identity irrespective of anatomy or physique. </w:t>
      </w:r>
      <w:r>
        <w:rPr>
          <w:rFonts w:ascii="Arial" w:eastAsia="Arial" w:hAnsi="Arial" w:cs="Arial"/>
          <w:u w:val="single"/>
        </w:rPr>
        <w:t xml:space="preserve"> </w:t>
      </w:r>
      <w:r>
        <w:rPr>
          <w:rFonts w:ascii="Arial" w:eastAsia="Arial" w:hAnsi="Arial" w:cs="Arial"/>
          <w:u w:val="single"/>
        </w:rPr>
        <w:t xml:space="preserve">Housing placements and search practices must be consistent with the person's consistently held gender identity except when such placement or search would present significant management or security problems to the jail or threaten the health and safety of the person.  A person must have access to commissary items, clothing, personal property, programming and educational materials that are consistent with the person's consistently held gender identity. </w:t>
      </w:r>
      <w:r>
        <w:rPr>
          <w:rFonts w:ascii="Arial" w:eastAsia="Arial" w:hAnsi="Arial" w:cs="Arial"/>
          <w:u w:val="single"/>
        </w:rPr>
        <w:t xml:space="preserve"> </w:t>
      </w:r>
      <w:r>
        <w:rPr>
          <w:rFonts w:ascii="Arial" w:eastAsia="Arial" w:hAnsi="Arial" w:cs="Arial"/>
          <w:u w:val="single"/>
        </w:rPr>
        <w:t>County and regional jail staff shall address a person in a manner that is consistent with the person's consistently held gender identity.</w:t>
      </w:r>
    </w:p>
    <w:p w:rsidR="00EB575D" w:rsidP="00EB575D">
      <w:pPr>
        <w:ind w:left="360" w:firstLine="360"/>
        <w:rPr>
          <w:rFonts w:ascii="Arial" w:eastAsia="Arial" w:hAnsi="Arial" w:cs="Arial"/>
        </w:rPr>
      </w:pPr>
      <w:bookmarkStart w:id="24" w:name="_BILL_SECTION_HEADER__330a831a_fd92_420b"/>
      <w:bookmarkStart w:id="25" w:name="_BILL_SECTION__6fa204f0_c175_4e0d_b9cd_f"/>
      <w:bookmarkEnd w:id="15"/>
      <w:bookmarkEnd w:id="18"/>
      <w:bookmarkEnd w:id="19"/>
      <w:bookmarkEnd w:id="20"/>
      <w:bookmarkEnd w:id="21"/>
      <w:bookmarkEnd w:id="23"/>
      <w:r>
        <w:rPr>
          <w:rFonts w:ascii="Arial" w:eastAsia="Arial" w:hAnsi="Arial" w:cs="Arial"/>
          <w:b/>
          <w:sz w:val="24"/>
        </w:rPr>
        <w:t xml:space="preserve">Sec. </w:t>
      </w:r>
      <w:bookmarkStart w:id="26" w:name="_BILL_SECTION_NUMBER__6f342022_a9e3_4ff0"/>
      <w:r>
        <w:rPr>
          <w:rFonts w:ascii="Arial" w:eastAsia="Arial" w:hAnsi="Arial" w:cs="Arial"/>
          <w:b/>
          <w:sz w:val="24"/>
        </w:rPr>
        <w:t>3</w:t>
      </w:r>
      <w:bookmarkEnd w:id="26"/>
      <w:r>
        <w:rPr>
          <w:rFonts w:ascii="Arial" w:eastAsia="Arial" w:hAnsi="Arial" w:cs="Arial"/>
          <w:b/>
          <w:sz w:val="24"/>
        </w:rPr>
        <w:t>.  34-A MRSA §3031, sub-§8,</w:t>
      </w:r>
      <w:r>
        <w:rPr>
          <w:rFonts w:ascii="Arial" w:eastAsia="Arial" w:hAnsi="Arial" w:cs="Arial"/>
        </w:rPr>
        <w:t xml:space="preserve"> as amended by PL 2019, c. 139, §2, is further amended to read:</w:t>
      </w:r>
    </w:p>
    <w:p w:rsidR="00EB575D" w:rsidP="00EB575D">
      <w:pPr>
        <w:ind w:left="360" w:firstLine="360"/>
        <w:rPr>
          <w:rFonts w:ascii="Arial" w:eastAsia="Arial" w:hAnsi="Arial" w:cs="Arial"/>
        </w:rPr>
      </w:pPr>
      <w:bookmarkStart w:id="27" w:name="_STATUTE_NUMBER__129a78a0_095a_4d32_aa58"/>
      <w:bookmarkStart w:id="28" w:name="_STATUTE_SS__07b8332d_d085_4486_893b_762"/>
      <w:bookmarkEnd w:id="24"/>
      <w:r>
        <w:rPr>
          <w:rFonts w:ascii="Arial" w:eastAsia="Arial" w:hAnsi="Arial" w:cs="Arial"/>
          <w:b/>
        </w:rPr>
        <w:t>8</w:t>
      </w:r>
      <w:bookmarkEnd w:id="27"/>
      <w:r>
        <w:rPr>
          <w:rFonts w:ascii="Arial" w:eastAsia="Arial" w:hAnsi="Arial" w:cs="Arial"/>
          <w:b/>
        </w:rPr>
        <w:t xml:space="preserve">.  </w:t>
      </w:r>
      <w:bookmarkStart w:id="29" w:name="_STATUTE_HEADNOTE__f6d50b9e_71ff_4da9_89"/>
      <w:r>
        <w:rPr>
          <w:rFonts w:ascii="Arial" w:eastAsia="Arial" w:hAnsi="Arial" w:cs="Arial"/>
          <w:b/>
        </w:rPr>
        <w:t>Visitation.</w:t>
      </w:r>
      <w:bookmarkEnd w:id="29"/>
      <w:r>
        <w:rPr>
          <w:rFonts w:ascii="Arial" w:eastAsia="Arial" w:hAnsi="Arial" w:cs="Arial"/>
          <w:b/>
        </w:rPr>
        <w:t xml:space="preserve"> </w:t>
      </w:r>
      <w:r>
        <w:rPr>
          <w:rFonts w:ascii="Arial" w:eastAsia="Arial" w:hAnsi="Arial" w:cs="Arial"/>
        </w:rPr>
        <w:t xml:space="preserve"> </w:t>
      </w:r>
      <w:bookmarkStart w:id="30" w:name="_STATUTE_CONTENT__b721f113_c733_4e58_b7c"/>
      <w:r>
        <w:rPr>
          <w:rFonts w:ascii="Arial" w:eastAsia="Arial" w:hAnsi="Arial" w:cs="Arial"/>
        </w:rPr>
        <w:t xml:space="preserve">A reasonable opportunity to visit with relatives and friends, in accordance with departmental policies and institutional procedures, </w:t>
      </w:r>
      <w:bookmarkStart w:id="31" w:name="_REV__bdbe6afe_4908_4389_914f_a1fa052b9d"/>
      <w:bookmarkStart w:id="32" w:name="_PROCESSED_CHANGE__3aca57c0_5354_44bb_a7"/>
      <w:r>
        <w:rPr>
          <w:rFonts w:ascii="Arial" w:eastAsia="Arial" w:hAnsi="Arial" w:cs="Arial"/>
          <w:strike/>
        </w:rPr>
        <w:t>provided</w:t>
      </w:r>
      <w:r>
        <w:rPr>
          <w:rFonts w:ascii="Arial" w:eastAsia="Arial" w:hAnsi="Arial" w:cs="Arial"/>
        </w:rPr>
        <w:t xml:space="preserve"> </w:t>
      </w:r>
      <w:bookmarkStart w:id="33" w:name="_REV__01cca12d_1b94_4690_b734_dd97c793ea"/>
      <w:bookmarkStart w:id="34" w:name="_PROCESSED_CHANGE__ebf26598_58d7_4757_84"/>
      <w:bookmarkEnd w:id="31"/>
      <w:bookmarkEnd w:id="32"/>
      <w:r>
        <w:rPr>
          <w:rFonts w:ascii="Arial" w:eastAsia="Arial" w:hAnsi="Arial" w:cs="Arial"/>
          <w:u w:val="single"/>
        </w:rPr>
        <w:t>except</w:t>
      </w:r>
      <w:r>
        <w:rPr>
          <w:rFonts w:ascii="Arial" w:eastAsia="Arial" w:hAnsi="Arial" w:cs="Arial"/>
        </w:rPr>
        <w:t xml:space="preserve"> </w:t>
      </w:r>
      <w:bookmarkEnd w:id="33"/>
      <w:bookmarkEnd w:id="34"/>
      <w:r>
        <w:rPr>
          <w:rFonts w:ascii="Arial" w:eastAsia="Arial" w:hAnsi="Arial" w:cs="Arial"/>
        </w:rPr>
        <w:t>that the department may restrict or prohibit visits when the restriction or prohibition is necessary for the security of the institution;</w:t>
      </w:r>
      <w:bookmarkStart w:id="35" w:name="_REV__6ef82696_de4b_4a15_99c1_7a899b06fe"/>
      <w:bookmarkStart w:id="36" w:name="_PROCESSED_CHANGE__a7b611a9_cd8f_4eb0_ae"/>
      <w:bookmarkStart w:id="37" w:name="_PROCESSED_CHANGE__e1d90281_d5f4_4a07_a4"/>
      <w:r>
        <w:rPr>
          <w:rFonts w:ascii="Arial" w:eastAsia="Arial" w:hAnsi="Arial" w:cs="Arial"/>
        </w:rPr>
        <w:t xml:space="preserve"> </w:t>
      </w:r>
      <w:r>
        <w:rPr>
          <w:rFonts w:ascii="Arial" w:eastAsia="Arial" w:hAnsi="Arial" w:cs="Arial"/>
          <w:strike/>
        </w:rPr>
        <w:t>and</w:t>
      </w:r>
      <w:bookmarkEnd w:id="30"/>
      <w:bookmarkEnd w:id="35"/>
      <w:bookmarkEnd w:id="36"/>
      <w:bookmarkEnd w:id="37"/>
    </w:p>
    <w:p w:rsidR="00EB575D" w:rsidP="00EB575D">
      <w:pPr>
        <w:ind w:left="360" w:firstLine="360"/>
        <w:rPr>
          <w:rFonts w:ascii="Arial" w:eastAsia="Arial" w:hAnsi="Arial" w:cs="Arial"/>
        </w:rPr>
      </w:pPr>
      <w:bookmarkStart w:id="38" w:name="_BILL_SECTION_HEADER__810cd760_fd59_4c40"/>
      <w:bookmarkStart w:id="39" w:name="_BILL_SECTION__b3ae3972_d253_4f42_945c_e"/>
      <w:bookmarkEnd w:id="25"/>
      <w:bookmarkEnd w:id="28"/>
      <w:r>
        <w:rPr>
          <w:rFonts w:ascii="Arial" w:eastAsia="Arial" w:hAnsi="Arial" w:cs="Arial"/>
          <w:b/>
          <w:sz w:val="24"/>
        </w:rPr>
        <w:t xml:space="preserve">Sec. </w:t>
      </w:r>
      <w:bookmarkStart w:id="40" w:name="_BILL_SECTION_NUMBER__a4178851_af8d_499c"/>
      <w:r>
        <w:rPr>
          <w:rFonts w:ascii="Arial" w:eastAsia="Arial" w:hAnsi="Arial" w:cs="Arial"/>
          <w:b/>
          <w:sz w:val="24"/>
        </w:rPr>
        <w:t>4</w:t>
      </w:r>
      <w:bookmarkEnd w:id="40"/>
      <w:r>
        <w:rPr>
          <w:rFonts w:ascii="Arial" w:eastAsia="Arial" w:hAnsi="Arial" w:cs="Arial"/>
          <w:b/>
          <w:sz w:val="24"/>
        </w:rPr>
        <w:t>.  34-A MRSA §3031, sub-§9,</w:t>
      </w:r>
      <w:r>
        <w:rPr>
          <w:rFonts w:ascii="Arial" w:eastAsia="Arial" w:hAnsi="Arial" w:cs="Arial"/>
        </w:rPr>
        <w:t xml:space="preserve"> as enacted by PL 2019, c. 139, §3, is amended to read:</w:t>
      </w:r>
    </w:p>
    <w:p w:rsidR="00EB575D" w:rsidP="00EB575D">
      <w:pPr>
        <w:ind w:left="360" w:firstLine="360"/>
        <w:rPr>
          <w:rFonts w:ascii="Arial" w:eastAsia="Arial" w:hAnsi="Arial" w:cs="Arial"/>
        </w:rPr>
      </w:pPr>
      <w:bookmarkStart w:id="41" w:name="_STATUTE_NUMBER__5aa71674_8c0f_4df1_a691"/>
      <w:bookmarkStart w:id="42" w:name="_STATUTE_SS__cbda25ab_1a48_499d_9850_dc0"/>
      <w:bookmarkEnd w:id="38"/>
      <w:r>
        <w:rPr>
          <w:rFonts w:ascii="Arial" w:eastAsia="Arial" w:hAnsi="Arial" w:cs="Arial"/>
          <w:b/>
        </w:rPr>
        <w:t>9</w:t>
      </w:r>
      <w:bookmarkEnd w:id="41"/>
      <w:r>
        <w:rPr>
          <w:rFonts w:ascii="Arial" w:eastAsia="Arial" w:hAnsi="Arial" w:cs="Arial"/>
          <w:b/>
        </w:rPr>
        <w:t xml:space="preserve">.  </w:t>
      </w:r>
      <w:bookmarkStart w:id="43" w:name="_STATUTE_HEADNOTE__4efb0362_4e2d_4e70_bc"/>
      <w:r>
        <w:rPr>
          <w:rFonts w:ascii="Arial" w:eastAsia="Arial" w:hAnsi="Arial" w:cs="Arial"/>
          <w:b/>
        </w:rPr>
        <w:t>Menstrual products.</w:t>
      </w:r>
      <w:bookmarkEnd w:id="43"/>
      <w:r>
        <w:rPr>
          <w:rFonts w:ascii="Arial" w:eastAsia="Arial" w:hAnsi="Arial" w:cs="Arial"/>
          <w:b/>
        </w:rPr>
        <w:t xml:space="preserve"> </w:t>
      </w:r>
      <w:r>
        <w:rPr>
          <w:rFonts w:ascii="Arial" w:eastAsia="Arial" w:hAnsi="Arial" w:cs="Arial"/>
        </w:rPr>
        <w:t xml:space="preserve"> </w:t>
      </w:r>
      <w:bookmarkStart w:id="44" w:name="_STATUTE_CONTENT__223acc91_4e15_4522_9d8"/>
      <w:r>
        <w:rPr>
          <w:rFonts w:ascii="Arial" w:eastAsia="Arial" w:hAnsi="Arial" w:cs="Arial"/>
        </w:rPr>
        <w:t>Comprehensive access to menstrual products, including, but not limited to, sanitary pads and tampons, provided and available at all times and without inconvenience or charge to a person who menstruates who resides in a correctional or detention facility</w:t>
      </w:r>
      <w:bookmarkStart w:id="45" w:name="_REV__96029ae7_d879_4dd9_98cd_8dd2d96669"/>
      <w:bookmarkStart w:id="46" w:name="_PROCESSED_CHANGE__7277bab7_c409_4383_9e"/>
      <w:bookmarkStart w:id="47" w:name="_PROCESSED_CHANGE__b87a159f_8cf9_4194_a3"/>
      <w:r>
        <w:rPr>
          <w:rFonts w:ascii="Arial" w:eastAsia="Arial" w:hAnsi="Arial" w:cs="Arial"/>
          <w:strike/>
        </w:rPr>
        <w:t>.</w:t>
      </w:r>
      <w:bookmarkStart w:id="48" w:name="_REV__20594c38_20b3_430a_9712_f6d2cbaa8e"/>
      <w:bookmarkStart w:id="49" w:name="_PROCESSED_CHANGE__5e730702_b638_449b_90"/>
      <w:bookmarkStart w:id="50" w:name="_PROCESSED_CHANGE__943873d7_815d_4ee4_89"/>
      <w:bookmarkEnd w:id="45"/>
      <w:bookmarkEnd w:id="46"/>
      <w:bookmarkEnd w:id="47"/>
      <w:r>
        <w:rPr>
          <w:rFonts w:ascii="Arial" w:eastAsia="Arial" w:hAnsi="Arial" w:cs="Arial"/>
          <w:u w:val="single"/>
        </w:rPr>
        <w:t>; and</w:t>
      </w:r>
      <w:bookmarkEnd w:id="44"/>
      <w:bookmarkEnd w:id="48"/>
      <w:bookmarkEnd w:id="49"/>
      <w:bookmarkEnd w:id="50"/>
    </w:p>
    <w:p w:rsidR="00EB575D" w:rsidP="00EB575D">
      <w:pPr>
        <w:ind w:left="360" w:firstLine="360"/>
        <w:rPr>
          <w:rFonts w:ascii="Arial" w:eastAsia="Arial" w:hAnsi="Arial" w:cs="Arial"/>
        </w:rPr>
      </w:pPr>
      <w:bookmarkStart w:id="51" w:name="_BILL_SECTION_HEADER__b474679c_0c6a_404d"/>
      <w:bookmarkStart w:id="52" w:name="_BILL_SECTION__ea9597c8_b319_4d9c_a9b1_0"/>
      <w:bookmarkEnd w:id="39"/>
      <w:bookmarkEnd w:id="42"/>
      <w:r>
        <w:rPr>
          <w:rFonts w:ascii="Arial" w:eastAsia="Arial" w:hAnsi="Arial" w:cs="Arial"/>
          <w:b/>
          <w:sz w:val="24"/>
        </w:rPr>
        <w:t xml:space="preserve">Sec. </w:t>
      </w:r>
      <w:bookmarkStart w:id="53" w:name="_BILL_SECTION_NUMBER__61146dcf_ac32_4790"/>
      <w:r>
        <w:rPr>
          <w:rFonts w:ascii="Arial" w:eastAsia="Arial" w:hAnsi="Arial" w:cs="Arial"/>
          <w:b/>
          <w:sz w:val="24"/>
        </w:rPr>
        <w:t>5</w:t>
      </w:r>
      <w:bookmarkEnd w:id="53"/>
      <w:r>
        <w:rPr>
          <w:rFonts w:ascii="Arial" w:eastAsia="Arial" w:hAnsi="Arial" w:cs="Arial"/>
          <w:b/>
          <w:sz w:val="24"/>
        </w:rPr>
        <w:t>.  34-A MRSA §3031, sub-§10</w:t>
      </w:r>
      <w:r>
        <w:rPr>
          <w:rFonts w:ascii="Arial" w:eastAsia="Arial" w:hAnsi="Arial" w:cs="Arial"/>
        </w:rPr>
        <w:t xml:space="preserve"> is enacted to read:</w:t>
      </w:r>
    </w:p>
    <w:p w:rsidR="00000000" w:rsidP="00EB575D">
      <w:pPr>
        <w:ind w:left="360" w:firstLine="360"/>
        <w:rPr>
          <w:rFonts w:ascii="Arial" w:eastAsia="Arial" w:hAnsi="Arial" w:cs="Arial"/>
        </w:rPr>
      </w:pPr>
      <w:bookmarkStart w:id="54" w:name="_STATUTE_NUMBER__f5070697_2f5f_4357_85f7"/>
      <w:bookmarkStart w:id="55" w:name="_PROCESSED_CHANGE__4cdebb7f_9d56_42f9_84"/>
      <w:bookmarkStart w:id="56" w:name="_PROCESSED_CHANGE__68810063_26ec_43c0_8d"/>
      <w:bookmarkStart w:id="57" w:name="_REV__4d1d7d32_9a17_40af_920f_3042ecbc73"/>
      <w:bookmarkStart w:id="58" w:name="_STATUTE_SS__84baeb55_9330_4da6_82b8_a8a"/>
      <w:bookmarkEnd w:id="51"/>
      <w:r>
        <w:rPr>
          <w:rFonts w:ascii="Arial" w:eastAsia="Arial" w:hAnsi="Arial" w:cs="Arial"/>
          <w:b/>
          <w:u w:val="single"/>
        </w:rPr>
        <w:t>10</w:t>
      </w:r>
      <w:bookmarkEnd w:id="54"/>
      <w:r>
        <w:rPr>
          <w:rFonts w:ascii="Arial" w:eastAsia="Arial" w:hAnsi="Arial" w:cs="Arial"/>
          <w:b/>
          <w:u w:val="single"/>
        </w:rPr>
        <w:t xml:space="preserve">.  </w:t>
      </w:r>
      <w:bookmarkStart w:id="59" w:name="_STATUTE_HEADNOTE__b025520b_70f8_4c05_ae"/>
      <w:r>
        <w:rPr>
          <w:rFonts w:ascii="Arial" w:eastAsia="Arial" w:hAnsi="Arial" w:cs="Arial"/>
          <w:b/>
          <w:u w:val="single"/>
        </w:rPr>
        <w:t xml:space="preserve">Gender affirmation. </w:t>
      </w:r>
      <w:r>
        <w:rPr>
          <w:rFonts w:ascii="Arial" w:eastAsia="Arial" w:hAnsi="Arial" w:cs="Arial"/>
          <w:u w:val="single"/>
        </w:rPr>
        <w:t xml:space="preserve"> </w:t>
      </w:r>
      <w:bookmarkStart w:id="60" w:name="_STATUTE_CONTENT__cfaf5eac_1ad1_4f59_9ff"/>
      <w:bookmarkEnd w:id="59"/>
      <w:r>
        <w:rPr>
          <w:rFonts w:ascii="Arial" w:eastAsia="Arial" w:hAnsi="Arial" w:cs="Arial"/>
          <w:u w:val="single"/>
        </w:rPr>
        <w:t xml:space="preserve">Have the person's consistently held gender identity respected and acknowledged, irrespective of anatomy or physique. </w:t>
      </w:r>
      <w:r>
        <w:rPr>
          <w:rFonts w:ascii="Arial" w:eastAsia="Arial" w:hAnsi="Arial" w:cs="Arial"/>
          <w:u w:val="single"/>
        </w:rPr>
        <w:t xml:space="preserve"> </w:t>
      </w:r>
      <w:r>
        <w:rPr>
          <w:rFonts w:ascii="Arial" w:eastAsia="Arial" w:hAnsi="Arial" w:cs="Arial"/>
          <w:u w:val="single"/>
        </w:rPr>
        <w:t xml:space="preserve">Housing placements and search practices must be consistent with the person's consistently held gender identity except when such placement or search would present significant management or security problems to the correctional or detention facility or threaten the health and safety of the person.  A person must have access to commissary items, clothing, personal property, programming and educational materials that are consistent with the person's consistently held gender identity. </w:t>
      </w:r>
      <w:r>
        <w:rPr>
          <w:rFonts w:ascii="Arial" w:eastAsia="Arial" w:hAnsi="Arial" w:cs="Arial"/>
          <w:u w:val="single"/>
        </w:rPr>
        <w:t xml:space="preserve"> </w:t>
      </w:r>
      <w:r>
        <w:rPr>
          <w:rFonts w:ascii="Arial" w:eastAsia="Arial" w:hAnsi="Arial" w:cs="Arial"/>
          <w:u w:val="single"/>
        </w:rPr>
        <w:t>Correctional or detention facility staff shall address a person in a manner that is consistent with the person's consistently held gender identity.</w:t>
      </w:r>
      <w:bookmarkEnd w:id="2"/>
      <w:bookmarkEnd w:id="5"/>
      <w:bookmarkEnd w:id="6"/>
      <w:bookmarkEnd w:id="52"/>
      <w:bookmarkEnd w:id="55"/>
      <w:bookmarkEnd w:id="56"/>
      <w:bookmarkEnd w:id="57"/>
      <w:bookmarkEnd w:id="58"/>
      <w:bookmarkEnd w:id="6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LR1048,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the Rights of Certain Incarcerated Individuals</w:t>
    </w:r>
  </w:p>
  <w:p>
    <w:pPr>
      <w:suppressLineNumbers/>
      <w:spacing w:before="0" w:after="0"/>
      <w:jc w:val="center"/>
      <w:rPr>
        <w:rFonts w:ascii="Arial" w:eastAsia="Arial" w:hAnsi="Arial" w:cs="Arial"/>
      </w:rPr>
    </w:pPr>
    <w:r>
      <w:rPr>
        <w:rFonts w:ascii="Arial" w:eastAsia="Arial" w:hAnsi="Arial" w:cs="Arial"/>
        <w:sz w:val="22"/>
      </w:rPr>
      <w:t>L.D. 1044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575D"/>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