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Outcomes for Persons with Limb Loss</w:t>
      </w:r>
    </w:p>
    <w:p w:rsidR="00FE520F" w:rsidP="00FE520F">
      <w:pPr>
        <w:spacing w:after="240"/>
        <w:ind w:left="360"/>
        <w:jc w:val="right"/>
        <w:rPr>
          <w:rFonts w:ascii="Arial" w:eastAsia="Arial" w:hAnsi="Arial" w:cs="Arial"/>
          <w:caps/>
        </w:rPr>
      </w:pPr>
      <w:bookmarkStart w:id="0" w:name="_AMEND_TITLE__2c898fc4_d179_4c70_9c0c_b4"/>
      <w:bookmarkStart w:id="1" w:name="_PAGE__1_2d8ba81e_1369_472a_b0e9_6c765ac"/>
      <w:bookmarkStart w:id="2" w:name="_PAR__2_08e26a9b_67b5_45c3_86d3_93204874"/>
      <w:r>
        <w:rPr>
          <w:rFonts w:ascii="Arial" w:eastAsia="Arial" w:hAnsi="Arial" w:cs="Arial"/>
          <w:caps/>
        </w:rPr>
        <w:t>L.D. 1003</w:t>
      </w:r>
    </w:p>
    <w:p w:rsidR="00FE520F" w:rsidP="00FE520F">
      <w:pPr>
        <w:tabs>
          <w:tab w:val="right" w:pos="8928"/>
        </w:tabs>
        <w:spacing w:after="360"/>
        <w:ind w:left="360"/>
        <w:rPr>
          <w:rFonts w:ascii="Arial" w:eastAsia="Arial" w:hAnsi="Arial" w:cs="Arial"/>
        </w:rPr>
      </w:pPr>
      <w:bookmarkStart w:id="3" w:name="_PAR__3_20e4f29a_5258_43d6_8efd_1f1df0ca"/>
      <w:bookmarkEnd w:id="2"/>
      <w:r>
        <w:rPr>
          <w:rFonts w:ascii="Arial" w:eastAsia="Arial" w:hAnsi="Arial" w:cs="Arial"/>
        </w:rPr>
        <w:t>Date:</w:t>
      </w:r>
      <w:r>
        <w:rPr>
          <w:rFonts w:ascii="Arial" w:eastAsia="Arial" w:hAnsi="Arial" w:cs="Arial"/>
        </w:rPr>
        <w:tab/>
        <w:t>(Filing No. S-         )</w:t>
      </w:r>
    </w:p>
    <w:p w:rsidR="00FE520F" w:rsidP="00FE520F">
      <w:pPr>
        <w:spacing w:before="60" w:after="60"/>
        <w:ind w:left="720"/>
        <w:rPr>
          <w:rFonts w:ascii="Arial" w:eastAsia="Arial" w:hAnsi="Arial" w:cs="Arial"/>
        </w:rPr>
      </w:pPr>
      <w:bookmarkStart w:id="4" w:name="_PAR__4_f9fe0d9f_ccdf_4433_b45d_7e184aaf"/>
      <w:bookmarkEnd w:id="3"/>
      <w:r>
        <w:rPr>
          <w:rFonts w:ascii="Arial" w:eastAsia="Arial" w:hAnsi="Arial" w:cs="Arial"/>
        </w:rPr>
        <w:t>Reproduced and distributed under the direction of the Secretary of the Senate.</w:t>
      </w:r>
    </w:p>
    <w:p w:rsidR="00FE520F" w:rsidP="00FE520F">
      <w:pPr>
        <w:spacing w:before="160" w:after="0"/>
        <w:ind w:left="360"/>
        <w:jc w:val="center"/>
        <w:outlineLvl w:val="0"/>
        <w:rPr>
          <w:rFonts w:ascii="Arial" w:eastAsia="Arial" w:hAnsi="Arial" w:cs="Arial"/>
          <w:b/>
          <w:caps/>
          <w:sz w:val="24"/>
          <w:szCs w:val="32"/>
        </w:rPr>
      </w:pPr>
      <w:bookmarkStart w:id="5" w:name="_PAR__5_f2503bee_9523_451c_936c_fc9313fa"/>
      <w:bookmarkEnd w:id="4"/>
      <w:r>
        <w:rPr>
          <w:rFonts w:ascii="Arial" w:eastAsia="Arial" w:hAnsi="Arial" w:cs="Arial"/>
          <w:b/>
          <w:caps/>
          <w:sz w:val="24"/>
          <w:szCs w:val="32"/>
        </w:rPr>
        <w:t>STATE OF MAINE</w:t>
      </w:r>
    </w:p>
    <w:p w:rsidR="00FE520F" w:rsidP="00FE520F">
      <w:pPr>
        <w:spacing w:after="0"/>
        <w:ind w:left="360"/>
        <w:jc w:val="center"/>
        <w:outlineLvl w:val="0"/>
        <w:rPr>
          <w:rFonts w:ascii="Arial" w:eastAsia="Arial" w:hAnsi="Arial" w:cs="Arial"/>
          <w:b/>
          <w:caps/>
          <w:sz w:val="24"/>
          <w:szCs w:val="32"/>
        </w:rPr>
      </w:pPr>
      <w:bookmarkStart w:id="6" w:name="_PAR__6_3c4de6a0_64c7_4cfd_b5bc_cc8aa4b5"/>
      <w:bookmarkEnd w:id="5"/>
      <w:r>
        <w:rPr>
          <w:rFonts w:ascii="Arial" w:eastAsia="Arial" w:hAnsi="Arial" w:cs="Arial"/>
          <w:b/>
          <w:caps/>
          <w:sz w:val="24"/>
          <w:szCs w:val="32"/>
        </w:rPr>
        <w:t>SENATE</w:t>
      </w:r>
    </w:p>
    <w:p w:rsidR="00FE520F" w:rsidP="00FE520F">
      <w:pPr>
        <w:spacing w:after="0"/>
        <w:ind w:left="360"/>
        <w:jc w:val="center"/>
        <w:outlineLvl w:val="0"/>
        <w:rPr>
          <w:rFonts w:ascii="Arial" w:eastAsia="Arial" w:hAnsi="Arial" w:cs="Arial"/>
          <w:b/>
          <w:caps/>
          <w:sz w:val="24"/>
          <w:szCs w:val="32"/>
        </w:rPr>
      </w:pPr>
      <w:bookmarkStart w:id="7" w:name="_PAR__7_5e1c4f91_cb29_48aa_a62f_f848a2f6"/>
      <w:bookmarkEnd w:id="6"/>
      <w:r>
        <w:rPr>
          <w:rFonts w:ascii="Arial" w:eastAsia="Arial" w:hAnsi="Arial" w:cs="Arial"/>
          <w:b/>
          <w:caps/>
          <w:sz w:val="24"/>
          <w:szCs w:val="32"/>
        </w:rPr>
        <w:t>130th Legislature</w:t>
      </w:r>
    </w:p>
    <w:p w:rsidR="00FE520F" w:rsidP="00FE520F">
      <w:pPr>
        <w:spacing w:after="0"/>
        <w:ind w:left="360"/>
        <w:jc w:val="center"/>
        <w:outlineLvl w:val="0"/>
        <w:rPr>
          <w:rFonts w:ascii="Arial" w:eastAsia="Arial" w:hAnsi="Arial" w:cs="Arial"/>
          <w:b/>
          <w:caps/>
          <w:sz w:val="24"/>
          <w:szCs w:val="32"/>
        </w:rPr>
      </w:pPr>
      <w:bookmarkStart w:id="8" w:name="_PAR__8_5be1fee7_3f7c_4a2e_8168_ac7c3937"/>
      <w:bookmarkEnd w:id="7"/>
      <w:r>
        <w:rPr>
          <w:rFonts w:ascii="Arial" w:eastAsia="Arial" w:hAnsi="Arial" w:cs="Arial"/>
          <w:b/>
          <w:caps/>
          <w:sz w:val="24"/>
          <w:szCs w:val="32"/>
        </w:rPr>
        <w:t>Second Regular Session</w:t>
      </w:r>
    </w:p>
    <w:p w:rsidR="00FE520F" w:rsidP="00FE520F">
      <w:pPr>
        <w:spacing w:before="400" w:after="200"/>
        <w:ind w:left="360" w:firstLine="360"/>
        <w:rPr>
          <w:rFonts w:ascii="Arial" w:eastAsia="Arial" w:hAnsi="Arial" w:cs="Arial"/>
        </w:rPr>
      </w:pPr>
      <w:bookmarkStart w:id="9" w:name="_PAR__9_b6d6e360_3b21_4d3c_b5b5_bd53e08c"/>
      <w:bookmarkEnd w:id="8"/>
      <w:r>
        <w:rPr>
          <w:rFonts w:ascii="Arial" w:eastAsia="Arial" w:hAnsi="Arial" w:cs="Arial"/>
          <w:szCs w:val="22"/>
        </w:rPr>
        <w:t>SENATE AMENDMENT “      ” to COMMITTEE AMENDMENT “A” to H.P. 741, L.D. 1003, “An Act To Improve Outcomes for Persons with Limb Loss”</w:t>
      </w:r>
    </w:p>
    <w:p w:rsidR="00FE520F" w:rsidP="00FE520F">
      <w:pPr>
        <w:ind w:left="360" w:firstLine="360"/>
        <w:rPr>
          <w:rFonts w:ascii="Arial" w:eastAsia="Arial" w:hAnsi="Arial" w:cs="Arial"/>
        </w:rPr>
      </w:pPr>
      <w:bookmarkStart w:id="10" w:name="_INSTRUCTION__e097cf6c_f4ac_4891_a073_3e"/>
      <w:bookmarkStart w:id="11" w:name="_PAR__10_fe5ccbaa_ba99_4f32_85ef_3fd7872"/>
      <w:bookmarkEnd w:id="0"/>
      <w:bookmarkEnd w:id="9"/>
      <w:r>
        <w:rPr>
          <w:rFonts w:ascii="Arial" w:eastAsia="Arial" w:hAnsi="Arial" w:cs="Arial"/>
        </w:rPr>
        <w:t>Amend the amendment by striking out all of section 3 and inserting the following:</w:t>
      </w:r>
    </w:p>
    <w:p w:rsidR="00FE520F" w:rsidP="00FE520F">
      <w:pPr>
        <w:ind w:left="360" w:firstLine="360"/>
        <w:rPr>
          <w:rFonts w:ascii="Arial" w:eastAsia="Arial" w:hAnsi="Arial" w:cs="Arial"/>
        </w:rPr>
      </w:pPr>
      <w:bookmarkStart w:id="12" w:name="_PAR__11_10a492d4_d2d3_4c48_984a_21992a4"/>
      <w:bookmarkEnd w:id="11"/>
      <w:r>
        <w:rPr>
          <w:rFonts w:ascii="Arial" w:eastAsia="Arial" w:hAnsi="Arial" w:cs="Arial"/>
        </w:rPr>
        <w:t>'</w:t>
      </w:r>
      <w:r>
        <w:rPr>
          <w:rFonts w:ascii="Arial" w:eastAsia="Arial" w:hAnsi="Arial" w:cs="Arial"/>
          <w:b/>
          <w:sz w:val="24"/>
        </w:rPr>
        <w:t>Sec. 3.  24-A MRSA §4315, sub-§9</w:t>
      </w:r>
      <w:r>
        <w:rPr>
          <w:rFonts w:ascii="Arial" w:eastAsia="Arial" w:hAnsi="Arial" w:cs="Arial"/>
        </w:rPr>
        <w:t xml:space="preserve"> is enacted to read:</w:t>
      </w:r>
    </w:p>
    <w:p w:rsidR="00FE520F" w:rsidP="00FE520F">
      <w:pPr>
        <w:ind w:left="360" w:firstLine="360"/>
        <w:rPr>
          <w:rFonts w:ascii="Arial" w:eastAsia="Arial" w:hAnsi="Arial" w:cs="Arial"/>
        </w:rPr>
      </w:pPr>
      <w:bookmarkStart w:id="13" w:name="_PAR__12_98caa992_fba2_46d5_b5f6_13ec6b4"/>
      <w:bookmarkEnd w:id="12"/>
      <w:r>
        <w:rPr>
          <w:rFonts w:ascii="Arial" w:eastAsia="Arial" w:hAnsi="Arial" w:cs="Arial"/>
          <w:b/>
          <w:u w:val="single"/>
        </w:rPr>
        <w:t xml:space="preserve">9.  Report. </w:t>
      </w:r>
      <w:r>
        <w:rPr>
          <w:rFonts w:ascii="Arial" w:eastAsia="Arial" w:hAnsi="Arial" w:cs="Arial"/>
          <w:u w:val="single"/>
        </w:rPr>
        <w:t xml:space="preserve"> No later than June 30, 2028, each carrier that issues a health plan subject to this section shall report to the superintendent on its experience pursuant to this section for plan years 2024, 2025, 2026 and 2027.  The report must be in a form prescribed by the superintendent and must include the number of claims and the total amount of claims paid in this State for the services required by this section.  The superintendent shall aggregate this data by plan year in a report and submit the report to the joint standing committee of the Legislature having jurisdiction over health coverage and insurance matters no later than November 1, 2028.</w:t>
      </w:r>
      <w:r>
        <w:rPr>
          <w:rFonts w:ascii="Arial" w:eastAsia="Arial" w:hAnsi="Arial" w:cs="Arial"/>
        </w:rPr>
        <w:t>'</w:t>
      </w:r>
    </w:p>
    <w:p w:rsidR="00FE520F" w:rsidP="00FE520F">
      <w:pPr>
        <w:ind w:left="360" w:firstLine="360"/>
        <w:rPr>
          <w:rFonts w:ascii="Arial" w:eastAsia="Arial" w:hAnsi="Arial" w:cs="Arial"/>
        </w:rPr>
      </w:pPr>
      <w:bookmarkStart w:id="14" w:name="_INSTRUCTION__c08ca73b_a180_4365_975f_d1"/>
      <w:bookmarkStart w:id="15" w:name="_PAR__13_1b026d48_15c7_49c3_9bae_ffddbf1"/>
      <w:bookmarkEnd w:id="10"/>
      <w:bookmarkEnd w:id="13"/>
      <w:r>
        <w:rPr>
          <w:rFonts w:ascii="Arial" w:eastAsia="Arial" w:hAnsi="Arial" w:cs="Arial"/>
        </w:rPr>
        <w:t>Amend the amendment in section 5 in the 3</w:t>
      </w:r>
      <w:r w:rsidRPr="004D4CD3">
        <w:rPr>
          <w:rFonts w:ascii="Arial" w:eastAsia="Arial" w:hAnsi="Arial" w:cs="Arial"/>
        </w:rPr>
        <w:t>rd</w:t>
      </w:r>
      <w:r>
        <w:rPr>
          <w:rFonts w:ascii="Arial" w:eastAsia="Arial" w:hAnsi="Arial" w:cs="Arial"/>
        </w:rPr>
        <w:t xml:space="preserve"> line (page 2, line 22 in amendment) by striking out the following: "2023" and inserting the following: '2024'</w:t>
      </w:r>
    </w:p>
    <w:p w:rsidR="00FE520F" w:rsidP="00FE520F">
      <w:pPr>
        <w:ind w:left="360" w:firstLine="360"/>
        <w:rPr>
          <w:rFonts w:ascii="Arial" w:eastAsia="Arial" w:hAnsi="Arial" w:cs="Arial"/>
        </w:rPr>
      </w:pPr>
      <w:bookmarkStart w:id="16" w:name="_INSTRUCTION__5f4d41aa_9fcb_41f4_87e4_95"/>
      <w:bookmarkStart w:id="17" w:name="_PAR__14_a0ae63b6_5aa6_4c57_83ac_8f778f4"/>
      <w:bookmarkEnd w:id="14"/>
      <w:bookmarkEnd w:id="15"/>
      <w:r>
        <w:rPr>
          <w:rFonts w:ascii="Arial" w:eastAsia="Arial" w:hAnsi="Arial" w:cs="Arial"/>
        </w:rPr>
        <w:t>Amend the amendment by relettering or renumbering any nonconsecutive Part letter or section number to read consecutively.</w:t>
      </w:r>
    </w:p>
    <w:p w:rsidR="00FE520F" w:rsidP="00FE520F">
      <w:pPr>
        <w:keepNext/>
        <w:spacing w:before="240"/>
        <w:ind w:left="360"/>
        <w:jc w:val="center"/>
        <w:rPr>
          <w:rFonts w:ascii="Arial" w:eastAsia="Arial" w:hAnsi="Arial" w:cs="Arial"/>
        </w:rPr>
      </w:pPr>
      <w:bookmarkStart w:id="18" w:name="_SUMMARY__756ead20_39a1_4b6c_bcb9_4bbeb6"/>
      <w:bookmarkStart w:id="19" w:name="_PAR__15_5301faa0_bac7_4220_b041_aff633f"/>
      <w:bookmarkEnd w:id="16"/>
      <w:bookmarkEnd w:id="17"/>
      <w:r>
        <w:rPr>
          <w:rFonts w:ascii="Arial" w:eastAsia="Arial" w:hAnsi="Arial" w:cs="Arial"/>
          <w:b/>
          <w:sz w:val="24"/>
        </w:rPr>
        <w:t>SUMMARY</w:t>
      </w:r>
    </w:p>
    <w:p w:rsidR="00FE520F" w:rsidP="00FE520F">
      <w:pPr>
        <w:keepNext/>
        <w:ind w:left="360" w:firstLine="360"/>
        <w:rPr>
          <w:rFonts w:ascii="Arial" w:eastAsia="Arial" w:hAnsi="Arial" w:cs="Arial"/>
        </w:rPr>
      </w:pPr>
      <w:bookmarkStart w:id="20" w:name="_PAR__16_917c1616_f3d6_4fc4_bb56_a138269"/>
      <w:bookmarkEnd w:id="19"/>
      <w:r>
        <w:rPr>
          <w:rFonts w:ascii="Arial" w:eastAsia="Arial" w:hAnsi="Arial" w:cs="Arial"/>
        </w:rPr>
        <w:t>This amendment changes the years for which carriers are required to report to the Superintendent of Insurance on their claims experience as required in Committee Amendment "A."  It changes the application date from January 1, 2023 to January 1, 2024 and it changes a report date.</w:t>
      </w:r>
    </w:p>
    <w:p w:rsidR="00FE520F" w:rsidP="00FE520F">
      <w:pPr>
        <w:keepNext/>
        <w:spacing w:before="400" w:after="120" w:line="259" w:lineRule="auto"/>
        <w:ind w:left="360"/>
        <w:rPr>
          <w:rFonts w:ascii="Arial" w:eastAsia="Arial" w:hAnsi="Arial" w:cs="Arial"/>
          <w:b/>
        </w:rPr>
      </w:pPr>
      <w:bookmarkStart w:id="21" w:name="_SPONSOR_BLOCK__a3738d31_d3f8_4b5b_94d3_"/>
      <w:bookmarkStart w:id="22" w:name="_PAR__17_d95d83cd_f180_4140_bf65_c842b9c"/>
      <w:bookmarkEnd w:id="18"/>
      <w:bookmarkEnd w:id="20"/>
      <w:r>
        <w:rPr>
          <w:rFonts w:ascii="Arial" w:eastAsia="Arial" w:hAnsi="Arial" w:cs="Arial"/>
          <w:b/>
        </w:rPr>
        <w:t>SPONSORED BY: ___________________________________</w:t>
      </w:r>
    </w:p>
    <w:p w:rsidR="00FE520F" w:rsidP="00FE520F">
      <w:pPr>
        <w:keepNext/>
        <w:spacing w:after="120" w:line="259" w:lineRule="auto"/>
        <w:ind w:left="720"/>
        <w:rPr>
          <w:rFonts w:ascii="Arial" w:eastAsia="Arial" w:hAnsi="Arial" w:cs="Arial"/>
          <w:b/>
        </w:rPr>
      </w:pPr>
      <w:bookmarkStart w:id="23" w:name="_PAR__18_72004381_e821_49f8_8cc6_d7de9e6"/>
      <w:bookmarkEnd w:id="22"/>
      <w:r>
        <w:rPr>
          <w:rFonts w:ascii="Arial" w:eastAsia="Arial" w:hAnsi="Arial" w:cs="Arial"/>
          <w:b/>
        </w:rPr>
        <w:t>(Senator BREEN, C.)</w:t>
      </w:r>
    </w:p>
    <w:p w:rsidR="00000000" w:rsidRPr="00FE520F" w:rsidP="00FE520F">
      <w:pPr>
        <w:spacing w:after="120" w:line="259" w:lineRule="auto"/>
        <w:ind w:left="1080"/>
        <w:rPr>
          <w:rFonts w:ascii="Arial" w:eastAsia="Arial" w:hAnsi="Arial" w:cs="Arial"/>
          <w:b/>
        </w:rPr>
      </w:pPr>
      <w:bookmarkStart w:id="24" w:name="_PAR__19_33a28c04_5409_4579_b5c1_6f6e218"/>
      <w:bookmarkEnd w:id="23"/>
      <w:r>
        <w:rPr>
          <w:rFonts w:ascii="Arial" w:eastAsia="Arial" w:hAnsi="Arial" w:cs="Arial"/>
          <w:b/>
        </w:rPr>
        <w:t>COUNTY: Cumberland</w:t>
      </w:r>
      <w:bookmarkEnd w:id="1"/>
      <w:bookmarkEnd w:id="21"/>
      <w:bookmarkEnd w:id="2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LR1214,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Outcomes for Persons with Limb Loss</w:t>
    </w:r>
  </w:p>
  <w:p>
    <w:pPr>
      <w:suppressLineNumbers/>
      <w:spacing w:before="0" w:after="0"/>
      <w:jc w:val="center"/>
      <w:rPr>
        <w:rFonts w:ascii="Arial" w:eastAsia="Arial" w:hAnsi="Arial" w:cs="Arial"/>
      </w:rPr>
    </w:pPr>
    <w:r>
      <w:rPr>
        <w:rFonts w:ascii="Arial" w:eastAsia="Arial" w:hAnsi="Arial" w:cs="Arial"/>
        <w:sz w:val="22"/>
      </w:rPr>
      <w:t>L.D. 1003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D4CD3"/>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 w:val="00FE52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