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the Homestead Exemption to $50,000</w:t>
      </w:r>
    </w:p>
    <w:p w:rsidR="00367AEA" w:rsidP="00367AEA">
      <w:pPr>
        <w:spacing w:after="240"/>
        <w:ind w:left="360"/>
        <w:jc w:val="right"/>
        <w:rPr>
          <w:rFonts w:ascii="Arial" w:eastAsia="Arial" w:hAnsi="Arial" w:cs="Arial"/>
          <w:caps/>
        </w:rPr>
      </w:pPr>
      <w:bookmarkStart w:id="0" w:name="_AMEND_TITLE__c6935ec4_4857_490d_943d_27"/>
      <w:bookmarkStart w:id="1" w:name="_PAGE__1_cb5e3ac9_8b30_4eca_86c1_93eb730"/>
      <w:bookmarkStart w:id="2" w:name="_PAR__2_37386740_fd21_4f6a_80ac_010b1bd4"/>
      <w:r>
        <w:rPr>
          <w:rFonts w:ascii="Arial" w:eastAsia="Arial" w:hAnsi="Arial" w:cs="Arial"/>
          <w:caps/>
        </w:rPr>
        <w:t>L.D. 708</w:t>
      </w:r>
    </w:p>
    <w:p w:rsidR="00367AEA" w:rsidP="00367AEA">
      <w:pPr>
        <w:tabs>
          <w:tab w:val="right" w:pos="8928"/>
        </w:tabs>
        <w:spacing w:after="360"/>
        <w:ind w:left="360"/>
        <w:rPr>
          <w:rFonts w:ascii="Arial" w:eastAsia="Arial" w:hAnsi="Arial" w:cs="Arial"/>
        </w:rPr>
      </w:pPr>
      <w:bookmarkStart w:id="3" w:name="_PAR__3_ac0fda16_105d_494b_8b5d_27063977"/>
      <w:bookmarkEnd w:id="2"/>
      <w:r>
        <w:rPr>
          <w:rFonts w:ascii="Arial" w:eastAsia="Arial" w:hAnsi="Arial" w:cs="Arial"/>
        </w:rPr>
        <w:t>Date:</w:t>
      </w:r>
      <w:r>
        <w:rPr>
          <w:rFonts w:ascii="Arial" w:eastAsia="Arial" w:hAnsi="Arial" w:cs="Arial"/>
        </w:rPr>
        <w:tab/>
        <w:t>(Filing No. H-         )</w:t>
      </w:r>
    </w:p>
    <w:p w:rsidR="00367AEA" w:rsidP="00367AEA">
      <w:pPr>
        <w:spacing w:before="600" w:after="300"/>
        <w:ind w:left="360"/>
        <w:jc w:val="center"/>
        <w:outlineLvl w:val="0"/>
        <w:rPr>
          <w:rFonts w:ascii="Arial" w:eastAsia="Arial" w:hAnsi="Arial" w:cs="Arial"/>
        </w:rPr>
      </w:pPr>
      <w:bookmarkStart w:id="4" w:name="_PAR__4_ae479baf_ba46_4b5d_bfb2_ccfd6cf1"/>
      <w:bookmarkEnd w:id="3"/>
      <w:r>
        <w:rPr>
          <w:rFonts w:ascii="Arial" w:eastAsia="Arial" w:hAnsi="Arial" w:cs="Arial"/>
          <w:b/>
          <w:caps/>
          <w:sz w:val="24"/>
          <w:szCs w:val="32"/>
        </w:rPr>
        <w:t xml:space="preserve">Taxation </w:t>
      </w:r>
    </w:p>
    <w:p w:rsidR="00367AEA" w:rsidP="00367AEA">
      <w:pPr>
        <w:spacing w:before="60" w:after="60"/>
        <w:ind w:left="720"/>
        <w:rPr>
          <w:rFonts w:ascii="Arial" w:eastAsia="Arial" w:hAnsi="Arial" w:cs="Arial"/>
        </w:rPr>
      </w:pPr>
      <w:bookmarkStart w:id="5" w:name="_PAR__5_bf72fc2b_99ec_45b4_9ad4_89263618"/>
      <w:bookmarkEnd w:id="4"/>
      <w:r>
        <w:rPr>
          <w:rFonts w:ascii="Arial" w:eastAsia="Arial" w:hAnsi="Arial" w:cs="Arial"/>
        </w:rPr>
        <w:t>Reproduced and distributed under the direction of the Clerk of the House.</w:t>
      </w:r>
    </w:p>
    <w:p w:rsidR="00367AEA" w:rsidP="00367AEA">
      <w:pPr>
        <w:spacing w:before="160" w:after="0"/>
        <w:ind w:left="360"/>
        <w:jc w:val="center"/>
        <w:outlineLvl w:val="0"/>
        <w:rPr>
          <w:rFonts w:ascii="Arial" w:eastAsia="Arial" w:hAnsi="Arial" w:cs="Arial"/>
          <w:b/>
          <w:caps/>
          <w:sz w:val="24"/>
          <w:szCs w:val="32"/>
        </w:rPr>
      </w:pPr>
      <w:bookmarkStart w:id="6" w:name="_PAR__6_f48dfcf0_ce8e_44c0_aaa8_2d6303dc"/>
      <w:bookmarkEnd w:id="5"/>
      <w:r>
        <w:rPr>
          <w:rFonts w:ascii="Arial" w:eastAsia="Arial" w:hAnsi="Arial" w:cs="Arial"/>
          <w:b/>
          <w:caps/>
          <w:sz w:val="24"/>
          <w:szCs w:val="32"/>
        </w:rPr>
        <w:t>STATE OF MAINE</w:t>
      </w:r>
    </w:p>
    <w:p w:rsidR="00367AEA" w:rsidP="00367AEA">
      <w:pPr>
        <w:spacing w:after="0"/>
        <w:ind w:left="360"/>
        <w:jc w:val="center"/>
        <w:outlineLvl w:val="0"/>
        <w:rPr>
          <w:rFonts w:ascii="Arial" w:eastAsia="Arial" w:hAnsi="Arial" w:cs="Arial"/>
          <w:b/>
          <w:caps/>
          <w:sz w:val="24"/>
          <w:szCs w:val="32"/>
        </w:rPr>
      </w:pPr>
      <w:bookmarkStart w:id="7" w:name="_PAR__7_7dad974f_e240_4b2f_b500_04cd8346"/>
      <w:bookmarkEnd w:id="6"/>
      <w:r>
        <w:rPr>
          <w:rFonts w:ascii="Arial" w:eastAsia="Arial" w:hAnsi="Arial" w:cs="Arial"/>
          <w:b/>
          <w:caps/>
          <w:sz w:val="24"/>
          <w:szCs w:val="32"/>
        </w:rPr>
        <w:t>HOUSE OF REPRESENTATIVES</w:t>
      </w:r>
    </w:p>
    <w:p w:rsidR="00367AEA" w:rsidP="00367AEA">
      <w:pPr>
        <w:spacing w:after="0"/>
        <w:ind w:left="360"/>
        <w:jc w:val="center"/>
        <w:outlineLvl w:val="0"/>
        <w:rPr>
          <w:rFonts w:ascii="Arial" w:eastAsia="Arial" w:hAnsi="Arial" w:cs="Arial"/>
          <w:b/>
          <w:caps/>
          <w:sz w:val="24"/>
          <w:szCs w:val="32"/>
        </w:rPr>
      </w:pPr>
      <w:bookmarkStart w:id="8" w:name="_PAR__8_8d0cbb3f_97b2_47a8_a0c4_91ec2d9f"/>
      <w:bookmarkEnd w:id="7"/>
      <w:r>
        <w:rPr>
          <w:rFonts w:ascii="Arial" w:eastAsia="Arial" w:hAnsi="Arial" w:cs="Arial"/>
          <w:b/>
          <w:caps/>
          <w:sz w:val="24"/>
          <w:szCs w:val="32"/>
        </w:rPr>
        <w:t>130th Legislature</w:t>
      </w:r>
    </w:p>
    <w:p w:rsidR="00367AEA" w:rsidP="00367AEA">
      <w:pPr>
        <w:spacing w:after="0"/>
        <w:ind w:left="360"/>
        <w:jc w:val="center"/>
        <w:outlineLvl w:val="0"/>
        <w:rPr>
          <w:rFonts w:ascii="Arial" w:eastAsia="Arial" w:hAnsi="Arial" w:cs="Arial"/>
          <w:b/>
          <w:caps/>
          <w:sz w:val="24"/>
          <w:szCs w:val="32"/>
        </w:rPr>
      </w:pPr>
      <w:bookmarkStart w:id="9" w:name="_PAR__9_635fa263_0cee_4a80_8162_09d14169"/>
      <w:bookmarkEnd w:id="8"/>
      <w:r>
        <w:rPr>
          <w:rFonts w:ascii="Arial" w:eastAsia="Arial" w:hAnsi="Arial" w:cs="Arial"/>
          <w:b/>
          <w:caps/>
          <w:sz w:val="24"/>
          <w:szCs w:val="32"/>
        </w:rPr>
        <w:t>First Special Session</w:t>
      </w:r>
    </w:p>
    <w:p w:rsidR="00367AEA" w:rsidP="00367AEA">
      <w:pPr>
        <w:spacing w:before="400" w:after="200"/>
        <w:ind w:left="360" w:firstLine="360"/>
        <w:rPr>
          <w:rFonts w:ascii="Arial" w:eastAsia="Arial" w:hAnsi="Arial" w:cs="Arial"/>
        </w:rPr>
      </w:pPr>
      <w:bookmarkStart w:id="10" w:name="_PAR__10_2a1b779c_291c_43e3_8806_a70deff"/>
      <w:bookmarkEnd w:id="9"/>
      <w:r>
        <w:rPr>
          <w:rFonts w:ascii="Arial" w:eastAsia="Arial" w:hAnsi="Arial" w:cs="Arial"/>
          <w:szCs w:val="22"/>
        </w:rPr>
        <w:t>COMMITTEE AMENDMENT “      ” to H.P. 520, L.D. 708, “An Act To Increase the Homestead Exemption to $50,000”</w:t>
      </w:r>
    </w:p>
    <w:p w:rsidR="00367AEA" w:rsidP="00367AEA">
      <w:pPr>
        <w:ind w:left="360" w:firstLine="360"/>
        <w:rPr>
          <w:rFonts w:ascii="Arial" w:eastAsia="Arial" w:hAnsi="Arial" w:cs="Arial"/>
        </w:rPr>
      </w:pPr>
      <w:bookmarkStart w:id="11" w:name="_INSTRUCTION__3ef90a12_1c7d_41a7_a502_5f"/>
      <w:bookmarkStart w:id="12" w:name="_PAR__11_fa7211b1_bfaa_4446_9e7e_8c111d4"/>
      <w:bookmarkEnd w:id="0"/>
      <w:bookmarkEnd w:id="10"/>
      <w:r>
        <w:rPr>
          <w:rFonts w:ascii="Arial" w:eastAsia="Arial" w:hAnsi="Arial" w:cs="Arial"/>
        </w:rPr>
        <w:t>Amend the bill by inserting after section 1 the following:</w:t>
      </w:r>
    </w:p>
    <w:p w:rsidR="00367AEA" w:rsidP="00367AEA">
      <w:pPr>
        <w:ind w:left="360" w:firstLine="360"/>
        <w:rPr>
          <w:rFonts w:ascii="Arial" w:eastAsia="Arial" w:hAnsi="Arial" w:cs="Arial"/>
        </w:rPr>
      </w:pPr>
      <w:bookmarkStart w:id="13" w:name="_PAR__12_9da94f7e_db20_4a84_bb18_3b51b1e"/>
      <w:bookmarkEnd w:id="12"/>
      <w:r>
        <w:rPr>
          <w:rFonts w:ascii="Arial" w:eastAsia="Arial" w:hAnsi="Arial" w:cs="Arial"/>
        </w:rPr>
        <w:t>'</w:t>
      </w:r>
      <w:r>
        <w:rPr>
          <w:rFonts w:ascii="Arial" w:eastAsia="Arial" w:hAnsi="Arial" w:cs="Arial"/>
          <w:b/>
          <w:sz w:val="24"/>
        </w:rPr>
        <w:t>Sec. 2.  36 MRSA §683, sub-§3,</w:t>
      </w:r>
      <w:r>
        <w:rPr>
          <w:rFonts w:ascii="Arial" w:eastAsia="Arial" w:hAnsi="Arial" w:cs="Arial"/>
        </w:rPr>
        <w:t xml:space="preserve"> as amended by PL 2019, c. 343, Pt. H, §3, is further amended to read:</w:t>
      </w:r>
    </w:p>
    <w:p w:rsidR="00367AEA" w:rsidP="00367AEA">
      <w:pPr>
        <w:ind w:left="360" w:firstLine="360"/>
        <w:rPr>
          <w:rFonts w:ascii="Arial" w:eastAsia="Arial" w:hAnsi="Arial" w:cs="Arial"/>
        </w:rPr>
      </w:pPr>
      <w:bookmarkStart w:id="14" w:name="_PAR__13_6ed4d65d_fe0c_4f56_ab98_971314f"/>
      <w:bookmarkEnd w:id="13"/>
      <w:r>
        <w:rPr>
          <w:rFonts w:ascii="Arial" w:eastAsia="Arial" w:hAnsi="Arial" w:cs="Arial"/>
          <w:b/>
        </w:rPr>
        <w:t xml:space="preserve">3.  Effect on state valuation. </w:t>
      </w:r>
      <w:r>
        <w:rPr>
          <w:rFonts w:ascii="Arial" w:eastAsia="Arial" w:hAnsi="Arial" w:cs="Arial"/>
        </w:rPr>
        <w:t xml:space="preserve"> For property tax years beginning before April 1, 2018, 50% of the just value of all the homestead exemptions under this subchapter must be included in the annual determination of state valuation under sections 208 and 305.  For property tax years beginning on April 1, 2018 and April 1, 2019, 62.5% of the just value of all the homestead exemptions under this subchapter must be included in the annual determination of state valuation under sections 208 and 305.  For property tax years beginning on </w:t>
      </w:r>
      <w:r>
        <w:rPr>
          <w:rFonts w:ascii="Arial" w:eastAsia="Arial" w:hAnsi="Arial" w:cs="Arial"/>
          <w:strike/>
        </w:rPr>
        <w:t>or after</w:t>
      </w:r>
      <w:r>
        <w:rPr>
          <w:rFonts w:ascii="Arial" w:eastAsia="Arial" w:hAnsi="Arial" w:cs="Arial"/>
        </w:rPr>
        <w:t xml:space="preserve"> April 1, 2020, 70% of the just value of all the homestead exemptions under this subchapter must be included in the annual determination of state valuation under sections 208 and 305. </w:t>
      </w:r>
      <w:r w:rsidRPr="008F4C40">
        <w:rPr>
          <w:rFonts w:ascii="Arial" w:eastAsia="Arial" w:hAnsi="Arial" w:cs="Arial"/>
        </w:rPr>
        <w:t xml:space="preserve"> </w:t>
      </w:r>
      <w:r>
        <w:rPr>
          <w:rFonts w:ascii="Arial" w:eastAsia="Arial" w:hAnsi="Arial" w:cs="Arial"/>
          <w:u w:val="single"/>
        </w:rPr>
        <w:t>For property tax years beginning on or after April 1, 2021, 85% of the just value of all the homestead exemptions under this subchapter must be included in the annual determination of state valuation under sections 208 and 305.</w:t>
      </w:r>
    </w:p>
    <w:p w:rsidR="00367AEA" w:rsidP="00367AEA">
      <w:pPr>
        <w:ind w:left="360" w:firstLine="360"/>
        <w:rPr>
          <w:rFonts w:ascii="Arial" w:eastAsia="Arial" w:hAnsi="Arial" w:cs="Arial"/>
        </w:rPr>
      </w:pPr>
      <w:bookmarkStart w:id="15" w:name="_PAR__14_caeeffe8_f95f_4183_8d14_5a4ad44"/>
      <w:bookmarkEnd w:id="14"/>
      <w:r>
        <w:rPr>
          <w:rFonts w:ascii="Arial" w:eastAsia="Arial" w:hAnsi="Arial" w:cs="Arial"/>
          <w:b/>
          <w:sz w:val="24"/>
        </w:rPr>
        <w:t>Sec. 3.  36 MRSA §683, sub-§4,</w:t>
      </w:r>
      <w:r>
        <w:rPr>
          <w:rFonts w:ascii="Arial" w:eastAsia="Arial" w:hAnsi="Arial" w:cs="Arial"/>
        </w:rPr>
        <w:t xml:space="preserve"> as amended by PL 2019, c. 343, Pt. H, §3, is further amended to read:</w:t>
      </w:r>
    </w:p>
    <w:p w:rsidR="00367AEA" w:rsidP="00367AEA">
      <w:pPr>
        <w:ind w:left="360" w:firstLine="360"/>
        <w:rPr>
          <w:rFonts w:ascii="Arial" w:eastAsia="Arial" w:hAnsi="Arial" w:cs="Arial"/>
        </w:rPr>
      </w:pPr>
      <w:bookmarkStart w:id="16" w:name="_PAR__15_0c9ad23e_a043_4aaa_aa4d_614f939"/>
      <w:bookmarkEnd w:id="15"/>
      <w:r>
        <w:rPr>
          <w:rFonts w:ascii="Arial" w:eastAsia="Arial" w:hAnsi="Arial" w:cs="Arial"/>
          <w:b/>
        </w:rPr>
        <w:t xml:space="preserve">4.  Property tax rate. </w:t>
      </w:r>
      <w:r>
        <w:rPr>
          <w:rFonts w:ascii="Arial" w:eastAsia="Arial" w:hAnsi="Arial" w:cs="Arial"/>
        </w:rPr>
        <w:t xml:space="preserve"> For property tax years beginning before April 1, 2018, 50% of the just value of all the homestead exemptions under this subchapter must be included in the total municipal valuation used to determine the municipal tax rate.  For property tax years beginning on April 1, 2018 and April 1, 2019, 62.5% of the just value of all the homestead exemptions under this subchapter must be included in the total municipal valuation used to determine the municipal tax rate.  For property tax years beginning on </w:t>
      </w:r>
      <w:r>
        <w:rPr>
          <w:rFonts w:ascii="Arial" w:eastAsia="Arial" w:hAnsi="Arial" w:cs="Arial"/>
          <w:strike/>
        </w:rPr>
        <w:t>or after</w:t>
      </w:r>
      <w:r>
        <w:rPr>
          <w:rFonts w:ascii="Arial" w:eastAsia="Arial" w:hAnsi="Arial" w:cs="Arial"/>
        </w:rPr>
        <w:t xml:space="preserve"> April 1, 2020, 70% of the just value of all the homestead exemptions under this subchapter must be included in the total municipal valuation used to determine the municipal tax rate.  </w:t>
      </w:r>
      <w:r>
        <w:rPr>
          <w:rFonts w:ascii="Arial" w:eastAsia="Arial" w:hAnsi="Arial" w:cs="Arial"/>
          <w:u w:val="single"/>
        </w:rPr>
        <w:t xml:space="preserve">For property tax years beginning on or after April 1, 2021, 85% of the just value of all the homestead exemptions under this subchapter must be included in the </w:t>
      </w:r>
      <w:bookmarkStart w:id="17" w:name="_PAGE_SPLIT__b515075e_a0b8_4b6e_94b9_d00"/>
      <w:bookmarkStart w:id="18" w:name="_PAGE__2_a16843da_6f21_4476_aefc_256b4cf"/>
      <w:bookmarkStart w:id="19" w:name="_PAR__2_35efaaae_f356_45b4_9d0e_7ae90858"/>
      <w:bookmarkEnd w:id="1"/>
      <w:bookmarkEnd w:id="16"/>
      <w:r>
        <w:rPr>
          <w:rFonts w:ascii="Arial" w:eastAsia="Arial" w:hAnsi="Arial" w:cs="Arial"/>
          <w:u w:val="single"/>
        </w:rPr>
        <w:t>t</w:t>
      </w:r>
      <w:bookmarkEnd w:id="17"/>
      <w:r>
        <w:rPr>
          <w:rFonts w:ascii="Arial" w:eastAsia="Arial" w:hAnsi="Arial" w:cs="Arial"/>
          <w:u w:val="single"/>
        </w:rPr>
        <w:t>otal municipal valuation used to determine the municipal tax rate.</w:t>
      </w:r>
      <w:r>
        <w:rPr>
          <w:rFonts w:ascii="Arial" w:eastAsia="Arial" w:hAnsi="Arial" w:cs="Arial"/>
        </w:rPr>
        <w:t xml:space="preserve">  The municipal tax rate as finally determined may be applied to only the taxable portion of each homestead qualified for that tax year.</w:t>
      </w:r>
    </w:p>
    <w:p w:rsidR="00367AEA" w:rsidP="00367AEA">
      <w:pPr>
        <w:ind w:left="360" w:firstLine="360"/>
        <w:rPr>
          <w:rFonts w:ascii="Arial" w:eastAsia="Arial" w:hAnsi="Arial" w:cs="Arial"/>
        </w:rPr>
      </w:pPr>
      <w:bookmarkStart w:id="20" w:name="_PAR__3_fe2bb46d_2915_4a30_9700_6da2961c"/>
      <w:bookmarkEnd w:id="19"/>
      <w:r>
        <w:rPr>
          <w:rFonts w:ascii="Arial" w:eastAsia="Arial" w:hAnsi="Arial" w:cs="Arial"/>
          <w:b/>
          <w:sz w:val="24"/>
        </w:rPr>
        <w:t>Sec. 4.  36 MRSA §685, sub-§2,</w:t>
      </w:r>
      <w:r>
        <w:rPr>
          <w:rFonts w:ascii="Arial" w:eastAsia="Arial" w:hAnsi="Arial" w:cs="Arial"/>
        </w:rPr>
        <w:t xml:space="preserve"> as amended by PL 2019, c. 343, Pt. H, §4, is further amended to read:</w:t>
      </w:r>
    </w:p>
    <w:p w:rsidR="00367AEA" w:rsidP="00367AEA">
      <w:pPr>
        <w:ind w:left="360" w:firstLine="360"/>
        <w:rPr>
          <w:rFonts w:ascii="Arial" w:eastAsia="Arial" w:hAnsi="Arial" w:cs="Arial"/>
        </w:rPr>
      </w:pPr>
      <w:bookmarkStart w:id="21" w:name="_PAR__4_f007e729_7ea0_4a92_9be7_3f2417c4"/>
      <w:bookmarkEnd w:id="20"/>
      <w:r>
        <w:rPr>
          <w:rFonts w:ascii="Arial" w:eastAsia="Arial" w:hAnsi="Arial" w:cs="Arial"/>
          <w:b/>
        </w:rPr>
        <w:t xml:space="preserve">2.  Entitlement to reimbursement by the State; calculation. </w:t>
      </w:r>
      <w:r>
        <w:rPr>
          <w:rFonts w:ascii="Arial" w:eastAsia="Arial" w:hAnsi="Arial" w:cs="Arial"/>
        </w:rPr>
        <w:t xml:space="preserve"> A municipality that has approved homestead exemptions under this subchapter may recover from the State:</w:t>
      </w:r>
    </w:p>
    <w:p w:rsidR="00367AEA" w:rsidP="00367AEA">
      <w:pPr>
        <w:ind w:left="720"/>
        <w:rPr>
          <w:rFonts w:ascii="Arial" w:eastAsia="Arial" w:hAnsi="Arial" w:cs="Arial"/>
        </w:rPr>
      </w:pPr>
      <w:bookmarkStart w:id="22" w:name="_PAR__5_d6c456df_efc0_44c8_bf4c_006cd3ea"/>
      <w:bookmarkEnd w:id="21"/>
      <w:r>
        <w:rPr>
          <w:rFonts w:ascii="Arial" w:eastAsia="Arial" w:hAnsi="Arial" w:cs="Arial"/>
        </w:rPr>
        <w:t>A.  For property tax years beginning before April 1, 2018, 50% of the taxes lost by reason of the exemptions under section 683, subsections 1 and 1-B;</w:t>
      </w:r>
    </w:p>
    <w:p w:rsidR="00367AEA" w:rsidP="00367AEA">
      <w:pPr>
        <w:ind w:left="720"/>
        <w:rPr>
          <w:rFonts w:ascii="Arial" w:eastAsia="Arial" w:hAnsi="Arial" w:cs="Arial"/>
        </w:rPr>
      </w:pPr>
      <w:bookmarkStart w:id="23" w:name="_PAR__6_cf618d0d_23b1_431a_8d20_9fed378e"/>
      <w:bookmarkEnd w:id="22"/>
      <w:r>
        <w:rPr>
          <w:rFonts w:ascii="Arial" w:eastAsia="Arial" w:hAnsi="Arial" w:cs="Arial"/>
        </w:rPr>
        <w:t xml:space="preserve">B.  For property tax years beginning on April 1, 2018 and April 1, 2019, 62.5% of the taxes lost by reason of the exemptions under section 683, subsections 1 and 1-B; </w:t>
      </w:r>
      <w:r>
        <w:rPr>
          <w:rFonts w:ascii="Arial" w:eastAsia="Arial" w:hAnsi="Arial" w:cs="Arial"/>
          <w:strike/>
        </w:rPr>
        <w:t>and</w:t>
      </w:r>
    </w:p>
    <w:p w:rsidR="00367AEA" w:rsidP="00367AEA">
      <w:pPr>
        <w:ind w:left="720"/>
        <w:rPr>
          <w:rFonts w:ascii="Arial" w:eastAsia="Arial" w:hAnsi="Arial" w:cs="Arial"/>
        </w:rPr>
      </w:pPr>
      <w:bookmarkStart w:id="24" w:name="_PAR__7_e9c853c4_67a9_425a_bee8_2ea85e28"/>
      <w:bookmarkEnd w:id="23"/>
      <w:r>
        <w:rPr>
          <w:rFonts w:ascii="Arial" w:eastAsia="Arial" w:hAnsi="Arial" w:cs="Arial"/>
        </w:rPr>
        <w:t xml:space="preserve">C.  For property tax years beginning on </w:t>
      </w:r>
      <w:r>
        <w:rPr>
          <w:rFonts w:ascii="Arial" w:eastAsia="Arial" w:hAnsi="Arial" w:cs="Arial"/>
          <w:strike/>
        </w:rPr>
        <w:t>or after</w:t>
      </w:r>
      <w:r>
        <w:rPr>
          <w:rFonts w:ascii="Arial" w:eastAsia="Arial" w:hAnsi="Arial" w:cs="Arial"/>
        </w:rPr>
        <w:t xml:space="preserve"> April 1, 2020, 70% of the taxes lost by reason of the exemptions under section 683, subsections 1 and 1‑B</w:t>
      </w:r>
      <w:r>
        <w:rPr>
          <w:rFonts w:ascii="Arial" w:eastAsia="Arial" w:hAnsi="Arial" w:cs="Arial"/>
          <w:strike/>
        </w:rPr>
        <w:t>.</w:t>
      </w:r>
      <w:r>
        <w:rPr>
          <w:rFonts w:ascii="Arial" w:eastAsia="Arial" w:hAnsi="Arial" w:cs="Arial"/>
          <w:u w:val="single"/>
        </w:rPr>
        <w:t>; and</w:t>
      </w:r>
    </w:p>
    <w:p w:rsidR="00367AEA" w:rsidP="00367AEA">
      <w:pPr>
        <w:ind w:left="720"/>
        <w:rPr>
          <w:rFonts w:ascii="Arial" w:eastAsia="Arial" w:hAnsi="Arial" w:cs="Arial"/>
        </w:rPr>
      </w:pPr>
      <w:bookmarkStart w:id="25" w:name="_PAR__8_e055e36b_c901_4e0a_a8e3_c46d9972"/>
      <w:bookmarkEnd w:id="24"/>
      <w:r>
        <w:rPr>
          <w:rFonts w:ascii="Arial" w:eastAsia="Arial" w:hAnsi="Arial" w:cs="Arial"/>
          <w:u w:val="single"/>
        </w:rPr>
        <w:t>D.  For property tax years beginning on or after April 1, 2021, 85% of the taxes lost by reason of the exemptions under section 683, subsections 1 and 1-B.</w:t>
      </w:r>
    </w:p>
    <w:p w:rsidR="00367AEA" w:rsidP="00367AEA">
      <w:pPr>
        <w:ind w:left="360"/>
        <w:rPr>
          <w:rFonts w:ascii="Arial" w:eastAsia="Arial" w:hAnsi="Arial" w:cs="Arial"/>
        </w:rPr>
      </w:pPr>
      <w:bookmarkStart w:id="26" w:name="_PAR__9_4a251f34_89b8_41bf_bb9e_d2efbec5"/>
      <w:bookmarkEnd w:id="25"/>
      <w:r>
        <w:rPr>
          <w:rFonts w:ascii="Arial" w:eastAsia="Arial" w:hAnsi="Arial" w:cs="Arial"/>
        </w:rPr>
        <w:t>The municipality must provide proof in a form satisfactory to the bureau.  The bureau shall reimburse the Unorganized Territory Education and Services Fund in the same manner for taxes lost by reason of the exemptions.</w:t>
      </w:r>
    </w:p>
    <w:p w:rsidR="00367AEA" w:rsidP="00367AEA">
      <w:pPr>
        <w:ind w:left="360" w:firstLine="360"/>
        <w:rPr>
          <w:rFonts w:ascii="Arial" w:eastAsia="Arial" w:hAnsi="Arial" w:cs="Arial"/>
        </w:rPr>
      </w:pPr>
      <w:bookmarkStart w:id="27" w:name="_PAR__10_f66a657e_79c4_42d1_90c3_2e183dd"/>
      <w:bookmarkEnd w:id="26"/>
      <w:r>
        <w:rPr>
          <w:rFonts w:ascii="Arial" w:eastAsia="Arial" w:hAnsi="Arial" w:cs="Arial"/>
          <w:b/>
          <w:sz w:val="24"/>
        </w:rPr>
        <w:t>Sec. 5.  Appropriations and allocations.</w:t>
      </w:r>
      <w:r>
        <w:rPr>
          <w:rFonts w:ascii="Arial" w:eastAsia="Arial" w:hAnsi="Arial" w:cs="Arial"/>
        </w:rPr>
        <w:t>  The following appropriations and allocations are made.</w:t>
      </w:r>
    </w:p>
    <w:p w:rsidR="00367AEA" w:rsidP="00367AEA">
      <w:pPr>
        <w:pStyle w:val="BPSParagraphLeftAlign"/>
        <w:suppressAutoHyphens/>
        <w:ind w:left="360"/>
        <w:rPr>
          <w:rFonts w:ascii="Arial" w:eastAsia="Arial" w:hAnsi="Arial" w:cs="Arial"/>
        </w:rPr>
      </w:pPr>
      <w:bookmarkStart w:id="28" w:name="_PAR__11_0181cda4_b0d9_4e0a_91c1_286d1f8"/>
      <w:bookmarkEnd w:id="27"/>
      <w:r>
        <w:rPr>
          <w:rFonts w:ascii="Arial" w:eastAsia="Arial" w:hAnsi="Arial" w:cs="Arial"/>
          <w:b/>
        </w:rPr>
        <w:t>ADMINISTRATIVE AND FINANCIAL SERVICES, DEPARTMENT OF</w:t>
      </w:r>
    </w:p>
    <w:p w:rsidR="00367AEA" w:rsidP="00367AEA">
      <w:pPr>
        <w:pStyle w:val="BPSParagraphLeftAlign"/>
        <w:suppressAutoHyphens/>
        <w:ind w:left="360"/>
        <w:rPr>
          <w:rFonts w:ascii="Arial" w:eastAsia="Arial" w:hAnsi="Arial" w:cs="Arial"/>
        </w:rPr>
      </w:pPr>
      <w:bookmarkStart w:id="29" w:name="_PAR__12_81b5109f_b2cc_4951_93ab_d42668a"/>
      <w:bookmarkEnd w:id="28"/>
      <w:r>
        <w:rPr>
          <w:rFonts w:ascii="Arial" w:eastAsia="Arial" w:hAnsi="Arial" w:cs="Arial"/>
          <w:b/>
        </w:rPr>
        <w:t>Homestead Property Tax Exemption Reimbursement 0886</w:t>
      </w:r>
    </w:p>
    <w:p w:rsidR="00367AEA" w:rsidP="00367AEA">
      <w:pPr>
        <w:ind w:left="360"/>
        <w:rPr>
          <w:rFonts w:ascii="Arial" w:eastAsia="Arial" w:hAnsi="Arial" w:cs="Arial"/>
        </w:rPr>
      </w:pPr>
      <w:bookmarkStart w:id="30" w:name="_PAR__13_d70e0219_771b_4042_bc2a_5e010f3"/>
      <w:bookmarkEnd w:id="29"/>
      <w:r>
        <w:rPr>
          <w:rFonts w:ascii="Arial" w:eastAsia="Arial" w:hAnsi="Arial" w:cs="Arial"/>
        </w:rPr>
        <w:t>Initiative: Provides funding to increase the homestead property tax exemption from $25,000 to $50,000 and the reimbursement rate from 70% to 85% beginning April 1, 2021.</w:t>
      </w:r>
    </w:p>
    <w:tbl>
      <w:tblPr>
        <w:tblStyle w:val="BPSTable"/>
        <w:tblW w:w="0" w:type="auto"/>
        <w:tblInd w:w="360" w:type="dxa"/>
        <w:tblCellMar>
          <w:left w:w="0" w:type="dxa"/>
          <w:right w:w="0" w:type="dxa"/>
        </w:tblCellMar>
        <w:tblLook w:val="04A0"/>
      </w:tblPr>
      <w:tblGrid>
        <w:gridCol w:w="5005"/>
        <w:gridCol w:w="1465"/>
        <w:gridCol w:w="1465"/>
      </w:tblGrid>
      <w:tr w:rsidTr="009B0C79">
        <w:tblPrEx>
          <w:tblW w:w="0" w:type="auto"/>
          <w:tblInd w:w="360" w:type="dxa"/>
          <w:tblCellMar>
            <w:left w:w="0" w:type="dxa"/>
            <w:right w:w="0" w:type="dxa"/>
          </w:tblCellMar>
          <w:tblLook w:val="04A0"/>
        </w:tblPrEx>
        <w:tc>
          <w:tcPr>
            <w:tcW w:w="5069" w:type="dxa"/>
          </w:tcPr>
          <w:p w:rsidR="00367AEA" w:rsidP="009B0C79">
            <w:pPr>
              <w:spacing w:before="0" w:after="0"/>
              <w:rPr>
                <w:rFonts w:ascii="Arial" w:eastAsia="Arial" w:hAnsi="Arial" w:cs="Arial"/>
              </w:rPr>
            </w:pPr>
            <w:bookmarkStart w:id="31" w:name="_PAR__14_02225422_7ed2_4178_b490_801f055"/>
            <w:bookmarkStart w:id="32" w:name="_LINE__25_7fd57d0b_ab1c_4f78_8044_061bdf"/>
            <w:bookmarkEnd w:id="30"/>
            <w:r>
              <w:rPr>
                <w:rFonts w:ascii="Arial" w:eastAsia="Arial" w:hAnsi="Arial" w:cs="Arial"/>
                <w:b/>
              </w:rPr>
              <w:t>GENERAL FUND</w:t>
            </w:r>
            <w:bookmarkEnd w:id="32"/>
          </w:p>
        </w:tc>
        <w:tc>
          <w:tcPr>
            <w:tcW w:w="1469" w:type="dxa"/>
          </w:tcPr>
          <w:p w:rsidR="00367AEA" w:rsidP="009B0C79">
            <w:pPr>
              <w:spacing w:before="0" w:after="0"/>
              <w:jc w:val="right"/>
              <w:rPr>
                <w:rFonts w:ascii="Arial" w:eastAsia="Arial" w:hAnsi="Arial" w:cs="Arial"/>
              </w:rPr>
            </w:pPr>
            <w:bookmarkStart w:id="33" w:name="_LINE__25_1015ab5e_3671_49c8_ab19_44fe87"/>
            <w:r>
              <w:rPr>
                <w:rFonts w:ascii="Arial" w:eastAsia="Arial" w:hAnsi="Arial" w:cs="Arial"/>
                <w:b/>
              </w:rPr>
              <w:t>2021-22</w:t>
            </w:r>
            <w:bookmarkEnd w:id="33"/>
          </w:p>
        </w:tc>
        <w:tc>
          <w:tcPr>
            <w:tcW w:w="1469" w:type="dxa"/>
          </w:tcPr>
          <w:p w:rsidR="00367AEA" w:rsidP="009B0C79">
            <w:pPr>
              <w:spacing w:before="0" w:after="0"/>
              <w:jc w:val="right"/>
              <w:rPr>
                <w:rFonts w:ascii="Arial" w:eastAsia="Arial" w:hAnsi="Arial" w:cs="Arial"/>
              </w:rPr>
            </w:pPr>
            <w:bookmarkStart w:id="34" w:name="_LINE__25_5b232fef_7df7_4584_8a1b_92d611"/>
            <w:r>
              <w:rPr>
                <w:rFonts w:ascii="Arial" w:eastAsia="Arial" w:hAnsi="Arial" w:cs="Arial"/>
                <w:b/>
              </w:rPr>
              <w:t>2022-23</w:t>
            </w:r>
            <w:bookmarkEnd w:id="34"/>
          </w:p>
        </w:tc>
      </w:tr>
      <w:tr w:rsidTr="009B0C79">
        <w:tblPrEx>
          <w:tblW w:w="0" w:type="auto"/>
          <w:tblInd w:w="360" w:type="dxa"/>
          <w:tblCellMar>
            <w:left w:w="0" w:type="dxa"/>
            <w:right w:w="0" w:type="dxa"/>
          </w:tblCellMar>
          <w:tblLook w:val="04A0"/>
        </w:tblPrEx>
        <w:tc>
          <w:tcPr>
            <w:tcW w:w="5069" w:type="dxa"/>
          </w:tcPr>
          <w:p w:rsidR="00367AEA" w:rsidP="009B0C79">
            <w:pPr>
              <w:spacing w:before="0" w:after="0"/>
              <w:ind w:left="180"/>
              <w:rPr>
                <w:rFonts w:ascii="Arial" w:eastAsia="Arial" w:hAnsi="Arial" w:cs="Arial"/>
              </w:rPr>
            </w:pPr>
            <w:bookmarkStart w:id="35" w:name="_LINE__26_55c4c1bf_af3c_4f44_a910_137087"/>
            <w:r>
              <w:rPr>
                <w:rFonts w:ascii="Arial" w:eastAsia="Arial" w:hAnsi="Arial" w:cs="Arial"/>
              </w:rPr>
              <w:t>All Other</w:t>
            </w:r>
            <w:bookmarkEnd w:id="35"/>
          </w:p>
        </w:tc>
        <w:tc>
          <w:tcPr>
            <w:tcW w:w="1469" w:type="dxa"/>
          </w:tcPr>
          <w:p w:rsidR="00367AEA" w:rsidP="009B0C79">
            <w:pPr>
              <w:spacing w:before="0" w:after="0"/>
              <w:jc w:val="right"/>
              <w:rPr>
                <w:rFonts w:ascii="Arial" w:eastAsia="Arial" w:hAnsi="Arial" w:cs="Arial"/>
              </w:rPr>
            </w:pPr>
            <w:bookmarkStart w:id="36" w:name="_LINE__26_4b88ba78_fd21_4ca6_8c20_9ecb10"/>
            <w:r>
              <w:rPr>
                <w:rFonts w:ascii="Arial" w:eastAsia="Arial" w:hAnsi="Arial" w:cs="Arial"/>
              </w:rPr>
              <w:t>$102,211,052</w:t>
            </w:r>
            <w:bookmarkEnd w:id="36"/>
          </w:p>
        </w:tc>
        <w:tc>
          <w:tcPr>
            <w:tcW w:w="1469" w:type="dxa"/>
          </w:tcPr>
          <w:p w:rsidR="00367AEA" w:rsidP="009B0C79">
            <w:pPr>
              <w:spacing w:before="0" w:after="0"/>
              <w:jc w:val="right"/>
              <w:rPr>
                <w:rFonts w:ascii="Arial" w:eastAsia="Arial" w:hAnsi="Arial" w:cs="Arial"/>
              </w:rPr>
            </w:pPr>
            <w:bookmarkStart w:id="37" w:name="_LINE__26_afb5c767_6137_49f2_9bb3_891cce"/>
            <w:r>
              <w:rPr>
                <w:rFonts w:ascii="Arial" w:eastAsia="Arial" w:hAnsi="Arial" w:cs="Arial"/>
              </w:rPr>
              <w:t>$136,601,077</w:t>
            </w:r>
            <w:bookmarkEnd w:id="37"/>
          </w:p>
        </w:tc>
      </w:tr>
      <w:tr w:rsidTr="009B0C79">
        <w:tblPrEx>
          <w:tblW w:w="0" w:type="auto"/>
          <w:tblInd w:w="360" w:type="dxa"/>
          <w:tblCellMar>
            <w:left w:w="0" w:type="dxa"/>
            <w:right w:w="0" w:type="dxa"/>
          </w:tblCellMar>
          <w:tblLook w:val="04A0"/>
        </w:tblPrEx>
        <w:tc>
          <w:tcPr>
            <w:tcW w:w="5069" w:type="dxa"/>
          </w:tcPr>
          <w:p w:rsidR="00367AEA" w:rsidP="009B0C79">
            <w:pPr>
              <w:spacing w:before="0" w:after="0"/>
              <w:rPr>
                <w:rFonts w:ascii="Arial" w:eastAsia="Arial" w:hAnsi="Arial" w:cs="Arial"/>
              </w:rPr>
            </w:pPr>
            <w:bookmarkStart w:id="38" w:name="_LINE__27_73f6c897_d948_4a55_ab39_4a9db0"/>
            <w:r>
              <w:rPr>
                <w:rFonts w:ascii="Arial" w:eastAsia="Arial" w:hAnsi="Arial" w:cs="Arial"/>
              </w:rPr>
              <w:t xml:space="preserve"> </w:t>
            </w:r>
            <w:bookmarkEnd w:id="38"/>
          </w:p>
        </w:tc>
        <w:tc>
          <w:tcPr>
            <w:tcW w:w="1469" w:type="dxa"/>
          </w:tcPr>
          <w:p w:rsidR="00367AEA" w:rsidP="009B0C79">
            <w:pPr>
              <w:spacing w:before="0" w:after="0"/>
              <w:jc w:val="right"/>
              <w:rPr>
                <w:rFonts w:ascii="Arial" w:eastAsia="Arial" w:hAnsi="Arial" w:cs="Arial"/>
              </w:rPr>
            </w:pPr>
            <w:bookmarkStart w:id="39" w:name="_LINE__27_b943a85b_1dfb_4842_b97c_199332"/>
            <w:r>
              <w:rPr>
                <w:rFonts w:ascii="Arial" w:eastAsia="Arial" w:hAnsi="Arial" w:cs="Arial"/>
              </w:rPr>
              <w:t>__________</w:t>
            </w:r>
            <w:bookmarkEnd w:id="39"/>
          </w:p>
        </w:tc>
        <w:tc>
          <w:tcPr>
            <w:tcW w:w="1469" w:type="dxa"/>
          </w:tcPr>
          <w:p w:rsidR="00367AEA" w:rsidP="009B0C79">
            <w:pPr>
              <w:spacing w:before="0" w:after="0"/>
              <w:jc w:val="right"/>
              <w:rPr>
                <w:rFonts w:ascii="Arial" w:eastAsia="Arial" w:hAnsi="Arial" w:cs="Arial"/>
              </w:rPr>
            </w:pPr>
            <w:bookmarkStart w:id="40" w:name="_LINE__27_252ffd1a_6fdd_4887_9ade_7afc33"/>
            <w:r>
              <w:rPr>
                <w:rFonts w:ascii="Arial" w:eastAsia="Arial" w:hAnsi="Arial" w:cs="Arial"/>
              </w:rPr>
              <w:t>__________</w:t>
            </w:r>
            <w:bookmarkEnd w:id="40"/>
          </w:p>
        </w:tc>
      </w:tr>
      <w:tr w:rsidTr="009B0C79">
        <w:tblPrEx>
          <w:tblW w:w="0" w:type="auto"/>
          <w:tblInd w:w="360" w:type="dxa"/>
          <w:tblCellMar>
            <w:left w:w="0" w:type="dxa"/>
            <w:right w:w="0" w:type="dxa"/>
          </w:tblCellMar>
          <w:tblLook w:val="04A0"/>
        </w:tblPrEx>
        <w:tc>
          <w:tcPr>
            <w:tcW w:w="5069" w:type="dxa"/>
          </w:tcPr>
          <w:p w:rsidR="00367AEA" w:rsidP="009B0C79">
            <w:pPr>
              <w:spacing w:before="0" w:after="0"/>
              <w:rPr>
                <w:rFonts w:ascii="Arial" w:eastAsia="Arial" w:hAnsi="Arial" w:cs="Arial"/>
              </w:rPr>
            </w:pPr>
            <w:bookmarkStart w:id="41" w:name="_LINE__28_2af17a34_7e4f_416e_9fa9_b8379d"/>
            <w:r>
              <w:rPr>
                <w:rFonts w:ascii="Arial" w:eastAsia="Arial" w:hAnsi="Arial" w:cs="Arial"/>
              </w:rPr>
              <w:t>GENERAL FUND TOTAL</w:t>
            </w:r>
            <w:bookmarkEnd w:id="41"/>
          </w:p>
        </w:tc>
        <w:tc>
          <w:tcPr>
            <w:tcW w:w="1469" w:type="dxa"/>
          </w:tcPr>
          <w:p w:rsidR="00367AEA" w:rsidP="009B0C79">
            <w:pPr>
              <w:spacing w:before="0" w:after="0"/>
              <w:jc w:val="right"/>
              <w:rPr>
                <w:rFonts w:ascii="Arial" w:eastAsia="Arial" w:hAnsi="Arial" w:cs="Arial"/>
              </w:rPr>
            </w:pPr>
            <w:bookmarkStart w:id="42" w:name="_LINE__28_cc92cf77_0d79_42cc_b896_21577c"/>
            <w:r>
              <w:rPr>
                <w:rFonts w:ascii="Arial" w:eastAsia="Arial" w:hAnsi="Arial" w:cs="Arial"/>
              </w:rPr>
              <w:t>$102,211,052</w:t>
            </w:r>
            <w:bookmarkEnd w:id="42"/>
          </w:p>
        </w:tc>
        <w:tc>
          <w:tcPr>
            <w:tcW w:w="1469" w:type="dxa"/>
          </w:tcPr>
          <w:p w:rsidR="00367AEA" w:rsidP="009B0C79">
            <w:pPr>
              <w:spacing w:before="0" w:after="0"/>
              <w:jc w:val="right"/>
              <w:rPr>
                <w:rFonts w:ascii="Arial" w:eastAsia="Arial" w:hAnsi="Arial" w:cs="Arial"/>
              </w:rPr>
            </w:pPr>
            <w:bookmarkStart w:id="43" w:name="_LINE__28_05014514_aa06_45eb_b9dc_7499cd"/>
            <w:r>
              <w:rPr>
                <w:rFonts w:ascii="Arial" w:eastAsia="Arial" w:hAnsi="Arial" w:cs="Arial"/>
              </w:rPr>
              <w:t>$136,601,077</w:t>
            </w:r>
            <w:bookmarkEnd w:id="43"/>
          </w:p>
        </w:tc>
      </w:tr>
    </w:tbl>
    <w:p w:rsidR="00367AEA" w:rsidP="00367AEA">
      <w:pPr>
        <w:ind w:left="360"/>
        <w:rPr>
          <w:rFonts w:ascii="Arial" w:eastAsia="Arial" w:hAnsi="Arial" w:cs="Arial"/>
        </w:rPr>
      </w:pPr>
      <w:bookmarkStart w:id="44" w:name="_PAR__15_abb22240_55e0_4364_bb50_ca02a3e"/>
      <w:bookmarkEnd w:id="31"/>
      <w:r>
        <w:rPr>
          <w:rFonts w:ascii="Arial" w:eastAsia="Arial" w:hAnsi="Arial" w:cs="Arial"/>
        </w:rPr>
        <w:t>'</w:t>
      </w:r>
    </w:p>
    <w:p w:rsidR="00367AEA" w:rsidP="00367AEA">
      <w:pPr>
        <w:ind w:left="360" w:firstLine="360"/>
        <w:rPr>
          <w:rFonts w:ascii="Arial" w:eastAsia="Arial" w:hAnsi="Arial" w:cs="Arial"/>
        </w:rPr>
      </w:pPr>
      <w:bookmarkStart w:id="45" w:name="_INSTRUCTION__80bc6a67_0219_4aea_a0b3_68"/>
      <w:bookmarkStart w:id="46" w:name="_PAR__16_7cc5db07_d873_4bde_8e4e_737684b"/>
      <w:bookmarkEnd w:id="11"/>
      <w:bookmarkEnd w:id="44"/>
      <w:r>
        <w:rPr>
          <w:rFonts w:ascii="Arial" w:eastAsia="Arial" w:hAnsi="Arial" w:cs="Arial"/>
        </w:rPr>
        <w:t>Amend the bill by relettering or renumbering any nonconsecutive Part letter or section number to read consecutively.</w:t>
      </w:r>
    </w:p>
    <w:p w:rsidR="00367AEA" w:rsidP="00367AEA">
      <w:pPr>
        <w:keepNext/>
        <w:spacing w:before="240"/>
        <w:ind w:left="360"/>
        <w:jc w:val="center"/>
        <w:rPr>
          <w:rFonts w:ascii="Arial" w:eastAsia="Arial" w:hAnsi="Arial" w:cs="Arial"/>
        </w:rPr>
      </w:pPr>
      <w:bookmarkStart w:id="47" w:name="_SUMMARY__7f8b6bdb_5d0f_4ac7_add5_4f3044"/>
      <w:bookmarkStart w:id="48" w:name="_PAR__17_ea189a28_e806_4981_aaab_f52290a"/>
      <w:bookmarkEnd w:id="45"/>
      <w:bookmarkEnd w:id="46"/>
      <w:r>
        <w:rPr>
          <w:rFonts w:ascii="Arial" w:eastAsia="Arial" w:hAnsi="Arial" w:cs="Arial"/>
          <w:b/>
          <w:sz w:val="24"/>
        </w:rPr>
        <w:t>SUMMARY</w:t>
      </w:r>
    </w:p>
    <w:p w:rsidR="00367AEA" w:rsidP="00367AEA">
      <w:pPr>
        <w:keepNext/>
        <w:ind w:left="360" w:firstLine="360"/>
        <w:rPr>
          <w:rFonts w:ascii="Arial" w:eastAsia="Arial" w:hAnsi="Arial" w:cs="Arial"/>
        </w:rPr>
      </w:pPr>
      <w:bookmarkStart w:id="49" w:name="_PAR__18_8a33d833_495a_4d66_b254_c79e9ae"/>
      <w:bookmarkEnd w:id="48"/>
      <w:r w:rsidRPr="008F4C40">
        <w:rPr>
          <w:rFonts w:ascii="Arial" w:eastAsia="Arial" w:hAnsi="Arial" w:cs="Arial"/>
        </w:rPr>
        <w:t xml:space="preserve">This amendment </w:t>
      </w:r>
      <w:r>
        <w:rPr>
          <w:rFonts w:ascii="Arial" w:eastAsia="Arial" w:hAnsi="Arial" w:cs="Arial"/>
        </w:rPr>
        <w:t>adds provisions increasing the rate</w:t>
      </w:r>
      <w:r w:rsidRPr="008F4C40">
        <w:rPr>
          <w:rFonts w:ascii="Arial" w:eastAsia="Arial" w:hAnsi="Arial" w:cs="Arial"/>
        </w:rPr>
        <w:t xml:space="preserve"> of state reimbursement from </w:t>
      </w:r>
      <w:r>
        <w:rPr>
          <w:rFonts w:ascii="Arial" w:eastAsia="Arial" w:hAnsi="Arial" w:cs="Arial"/>
        </w:rPr>
        <w:t>the current rate of 70%</w:t>
      </w:r>
      <w:r w:rsidRPr="008F4C40">
        <w:rPr>
          <w:rFonts w:ascii="Arial" w:eastAsia="Arial" w:hAnsi="Arial" w:cs="Arial"/>
        </w:rPr>
        <w:t xml:space="preserve"> to 85%</w:t>
      </w:r>
      <w:r>
        <w:rPr>
          <w:rFonts w:ascii="Arial" w:eastAsia="Arial" w:hAnsi="Arial" w:cs="Arial"/>
        </w:rPr>
        <w:t>,</w:t>
      </w:r>
      <w:r w:rsidRPr="008F4C40">
        <w:rPr>
          <w:rFonts w:ascii="Arial" w:eastAsia="Arial" w:hAnsi="Arial" w:cs="Arial"/>
        </w:rPr>
        <w:t xml:space="preserve"> which has the effect of reimbursing municipalities for 100% of revenue lost as a result of the increase in the homestead property tax exemption to $50,000</w:t>
      </w:r>
      <w:r>
        <w:rPr>
          <w:rFonts w:ascii="Arial" w:eastAsia="Arial" w:hAnsi="Arial" w:cs="Arial"/>
        </w:rPr>
        <w:t>.</w:t>
      </w:r>
    </w:p>
    <w:p w:rsidR="00367AEA" w:rsidP="00367AEA">
      <w:pPr>
        <w:keepNext/>
        <w:spacing w:before="60" w:after="60"/>
        <w:ind w:left="360"/>
        <w:jc w:val="center"/>
        <w:rPr>
          <w:rFonts w:ascii="Arial" w:eastAsia="Arial" w:hAnsi="Arial" w:cs="Arial"/>
        </w:rPr>
      </w:pPr>
      <w:bookmarkStart w:id="50" w:name="_FISCAL_NOTE_REQUIRED__adc2c100_9ed0_49e"/>
      <w:bookmarkStart w:id="51" w:name="_PAR__19_0ced7c05_1449_4728_8d78_8099acc"/>
      <w:bookmarkEnd w:id="49"/>
      <w:r>
        <w:rPr>
          <w:rFonts w:ascii="Arial" w:eastAsia="Arial" w:hAnsi="Arial" w:cs="Arial"/>
          <w:b/>
        </w:rPr>
        <w:t>FISCAL NOTE REQUIRED</w:t>
      </w:r>
    </w:p>
    <w:p w:rsidR="00000000" w:rsidRPr="00367AEA" w:rsidP="00367AEA">
      <w:pPr>
        <w:spacing w:before="60" w:after="60"/>
        <w:ind w:left="360"/>
        <w:jc w:val="center"/>
        <w:rPr>
          <w:rFonts w:ascii="Arial" w:eastAsia="Arial" w:hAnsi="Arial" w:cs="Arial"/>
          <w:b/>
        </w:rPr>
      </w:pPr>
      <w:bookmarkStart w:id="52" w:name="_PAR__20_7a1c7fb3_a4ff_4919_b71b_c2483f9"/>
      <w:bookmarkEnd w:id="51"/>
      <w:r>
        <w:rPr>
          <w:rFonts w:ascii="Arial" w:eastAsia="Arial" w:hAnsi="Arial" w:cs="Arial"/>
          <w:b/>
        </w:rPr>
        <w:t>(See attached)</w:t>
      </w:r>
      <w:bookmarkEnd w:id="18"/>
      <w:bookmarkEnd w:id="47"/>
      <w:bookmarkEnd w:id="50"/>
      <w:bookmarkEnd w:id="5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LR0221,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Increase the Homestead Exemption to $50,000</w:t>
    </w:r>
  </w:p>
  <w:p>
    <w:pPr>
      <w:suppressLineNumbers/>
      <w:spacing w:before="0" w:after="0"/>
      <w:jc w:val="center"/>
      <w:rPr>
        <w:rFonts w:ascii="Arial" w:eastAsia="Arial" w:hAnsi="Arial" w:cs="Arial"/>
      </w:rPr>
    </w:pPr>
    <w:r>
      <w:rPr>
        <w:rFonts w:ascii="Arial" w:eastAsia="Arial" w:hAnsi="Arial" w:cs="Arial"/>
        <w:sz w:val="22"/>
      </w:rPr>
      <w:t>L.D. 708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67AEA"/>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F4C40"/>
    <w:rsid w:val="0092322A"/>
    <w:rsid w:val="009367EC"/>
    <w:rsid w:val="0099722B"/>
    <w:rsid w:val="009B0C79"/>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