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Provide Access to Justice for Victims of Child Sexual Abuse</w:t>
      </w:r>
    </w:p>
    <w:p w:rsidR="00EE27F7" w:rsidP="00EE27F7">
      <w:pPr>
        <w:spacing w:after="240"/>
        <w:ind w:left="360"/>
        <w:jc w:val="right"/>
        <w:rPr>
          <w:rFonts w:ascii="Arial" w:eastAsia="Arial" w:hAnsi="Arial" w:cs="Arial"/>
          <w:caps/>
        </w:rPr>
      </w:pPr>
      <w:bookmarkStart w:id="0" w:name="_AMEND_TITLE__1051a415_2cf9_4fd2_9692_59"/>
      <w:bookmarkStart w:id="1" w:name="_PAGE__1_778742a2_d762_474e_81ee_06a1197"/>
      <w:bookmarkStart w:id="2" w:name="_PAR__2_e9488b29_d4c6_4b18_8c4c_94cd3c6b"/>
      <w:r>
        <w:rPr>
          <w:rFonts w:ascii="Arial" w:eastAsia="Arial" w:hAnsi="Arial" w:cs="Arial"/>
          <w:caps/>
        </w:rPr>
        <w:t>L.D. 589</w:t>
      </w:r>
    </w:p>
    <w:p w:rsidR="00EE27F7" w:rsidP="00EE27F7">
      <w:pPr>
        <w:tabs>
          <w:tab w:val="right" w:pos="8928"/>
        </w:tabs>
        <w:spacing w:after="360"/>
        <w:ind w:left="360"/>
        <w:rPr>
          <w:rFonts w:ascii="Arial" w:eastAsia="Arial" w:hAnsi="Arial" w:cs="Arial"/>
        </w:rPr>
      </w:pPr>
      <w:bookmarkStart w:id="3" w:name="_PAR__3_06773282_23b9_4476_a186_db87e6d7"/>
      <w:bookmarkEnd w:id="2"/>
      <w:r>
        <w:rPr>
          <w:rFonts w:ascii="Arial" w:eastAsia="Arial" w:hAnsi="Arial" w:cs="Arial"/>
        </w:rPr>
        <w:t>Date:</w:t>
      </w:r>
      <w:r>
        <w:rPr>
          <w:rFonts w:ascii="Arial" w:eastAsia="Arial" w:hAnsi="Arial" w:cs="Arial"/>
        </w:rPr>
        <w:tab/>
        <w:t>(Filing No. H-         )</w:t>
      </w:r>
    </w:p>
    <w:p w:rsidR="00EE27F7" w:rsidP="00EE27F7">
      <w:pPr>
        <w:spacing w:before="600" w:after="300"/>
        <w:ind w:left="360"/>
        <w:jc w:val="center"/>
        <w:outlineLvl w:val="0"/>
        <w:rPr>
          <w:rFonts w:ascii="Arial" w:eastAsia="Arial" w:hAnsi="Arial" w:cs="Arial"/>
        </w:rPr>
      </w:pPr>
      <w:bookmarkStart w:id="4" w:name="_PAR__4_b859cc2b_a296_465e_b6b8_ad65be14"/>
      <w:bookmarkEnd w:id="3"/>
      <w:r>
        <w:rPr>
          <w:rFonts w:ascii="Arial" w:eastAsia="Arial" w:hAnsi="Arial" w:cs="Arial"/>
          <w:b/>
          <w:caps/>
          <w:sz w:val="24"/>
          <w:szCs w:val="32"/>
        </w:rPr>
        <w:t xml:space="preserve">Judiciary </w:t>
      </w:r>
    </w:p>
    <w:p w:rsidR="00EE27F7" w:rsidP="00EE27F7">
      <w:pPr>
        <w:spacing w:before="60" w:after="60"/>
        <w:ind w:left="720"/>
        <w:rPr>
          <w:rFonts w:ascii="Arial" w:eastAsia="Arial" w:hAnsi="Arial" w:cs="Arial"/>
        </w:rPr>
      </w:pPr>
      <w:bookmarkStart w:id="5" w:name="_PAR__5_ba2cb876_0f3e_480c_8205_e4850362"/>
      <w:bookmarkEnd w:id="4"/>
      <w:r>
        <w:rPr>
          <w:rFonts w:ascii="Arial" w:eastAsia="Arial" w:hAnsi="Arial" w:cs="Arial"/>
        </w:rPr>
        <w:t>Reproduced and distributed under the direction of the Clerk of the House.</w:t>
      </w:r>
    </w:p>
    <w:p w:rsidR="00EE27F7" w:rsidP="00EE27F7">
      <w:pPr>
        <w:spacing w:before="160" w:after="0"/>
        <w:ind w:left="360"/>
        <w:jc w:val="center"/>
        <w:outlineLvl w:val="0"/>
        <w:rPr>
          <w:rFonts w:ascii="Arial" w:eastAsia="Arial" w:hAnsi="Arial" w:cs="Arial"/>
          <w:b/>
          <w:caps/>
          <w:sz w:val="24"/>
          <w:szCs w:val="32"/>
        </w:rPr>
      </w:pPr>
      <w:bookmarkStart w:id="6" w:name="_PAR__6_a4ab4716_deb6_4bf6_8903_36dee026"/>
      <w:bookmarkEnd w:id="5"/>
      <w:r>
        <w:rPr>
          <w:rFonts w:ascii="Arial" w:eastAsia="Arial" w:hAnsi="Arial" w:cs="Arial"/>
          <w:b/>
          <w:caps/>
          <w:sz w:val="24"/>
          <w:szCs w:val="32"/>
        </w:rPr>
        <w:t>STATE OF MAINE</w:t>
      </w:r>
    </w:p>
    <w:p w:rsidR="00EE27F7" w:rsidP="00EE27F7">
      <w:pPr>
        <w:spacing w:after="0"/>
        <w:ind w:left="360"/>
        <w:jc w:val="center"/>
        <w:outlineLvl w:val="0"/>
        <w:rPr>
          <w:rFonts w:ascii="Arial" w:eastAsia="Arial" w:hAnsi="Arial" w:cs="Arial"/>
          <w:b/>
          <w:caps/>
          <w:sz w:val="24"/>
          <w:szCs w:val="32"/>
        </w:rPr>
      </w:pPr>
      <w:bookmarkStart w:id="7" w:name="_PAR__7_cb7a717b_2f72_4bf0_9282_dea83871"/>
      <w:bookmarkEnd w:id="6"/>
      <w:r>
        <w:rPr>
          <w:rFonts w:ascii="Arial" w:eastAsia="Arial" w:hAnsi="Arial" w:cs="Arial"/>
          <w:b/>
          <w:caps/>
          <w:sz w:val="24"/>
          <w:szCs w:val="32"/>
        </w:rPr>
        <w:t>HOUSE OF REPRESENTATIVES</w:t>
      </w:r>
    </w:p>
    <w:p w:rsidR="00EE27F7" w:rsidP="00EE27F7">
      <w:pPr>
        <w:spacing w:after="0"/>
        <w:ind w:left="360"/>
        <w:jc w:val="center"/>
        <w:outlineLvl w:val="0"/>
        <w:rPr>
          <w:rFonts w:ascii="Arial" w:eastAsia="Arial" w:hAnsi="Arial" w:cs="Arial"/>
          <w:b/>
          <w:caps/>
          <w:sz w:val="24"/>
          <w:szCs w:val="32"/>
        </w:rPr>
      </w:pPr>
      <w:bookmarkStart w:id="8" w:name="_PAR__8_3a0a15dc_6551_461a_b562_9bbe7263"/>
      <w:bookmarkEnd w:id="7"/>
      <w:r>
        <w:rPr>
          <w:rFonts w:ascii="Arial" w:eastAsia="Arial" w:hAnsi="Arial" w:cs="Arial"/>
          <w:b/>
          <w:caps/>
          <w:sz w:val="24"/>
          <w:szCs w:val="32"/>
        </w:rPr>
        <w:t>130th Legislature</w:t>
      </w:r>
    </w:p>
    <w:p w:rsidR="00EE27F7" w:rsidP="00EE27F7">
      <w:pPr>
        <w:spacing w:after="0"/>
        <w:ind w:left="360"/>
        <w:jc w:val="center"/>
        <w:outlineLvl w:val="0"/>
        <w:rPr>
          <w:rFonts w:ascii="Arial" w:eastAsia="Arial" w:hAnsi="Arial" w:cs="Arial"/>
          <w:b/>
          <w:caps/>
          <w:sz w:val="24"/>
          <w:szCs w:val="32"/>
        </w:rPr>
      </w:pPr>
      <w:bookmarkStart w:id="9" w:name="_PAR__9_9a95a086_8197_43bb_b79a_d8b0c604"/>
      <w:bookmarkEnd w:id="8"/>
      <w:r>
        <w:rPr>
          <w:rFonts w:ascii="Arial" w:eastAsia="Arial" w:hAnsi="Arial" w:cs="Arial"/>
          <w:b/>
          <w:caps/>
          <w:sz w:val="24"/>
          <w:szCs w:val="32"/>
        </w:rPr>
        <w:t>First Special Session</w:t>
      </w:r>
    </w:p>
    <w:p w:rsidR="00EE27F7" w:rsidP="00EE27F7">
      <w:pPr>
        <w:spacing w:before="400" w:after="200"/>
        <w:ind w:left="360" w:firstLine="360"/>
        <w:rPr>
          <w:rFonts w:ascii="Arial" w:eastAsia="Arial" w:hAnsi="Arial" w:cs="Arial"/>
        </w:rPr>
      </w:pPr>
      <w:bookmarkStart w:id="10" w:name="_PAR__10_c98d71b3_d42b_4f3e_bb61_8727b42"/>
      <w:bookmarkEnd w:id="9"/>
      <w:r>
        <w:rPr>
          <w:rFonts w:ascii="Arial" w:eastAsia="Arial" w:hAnsi="Arial" w:cs="Arial"/>
          <w:szCs w:val="22"/>
        </w:rPr>
        <w:t>COMMITTEE AMENDMENT “      ” to H.P. 432, L.D. 589, “An Act To Provide Access to Justice for Victims of Child Sexual Abuse”</w:t>
      </w:r>
    </w:p>
    <w:p w:rsidR="00EE27F7" w:rsidP="00EE27F7">
      <w:pPr>
        <w:ind w:left="360" w:firstLine="360"/>
        <w:rPr>
          <w:rFonts w:ascii="Arial" w:eastAsia="Arial" w:hAnsi="Arial" w:cs="Arial"/>
        </w:rPr>
      </w:pPr>
      <w:bookmarkStart w:id="11" w:name="_INSTRUCTION__87b7f4e0_8ecb_4e06_a08d_7e"/>
      <w:bookmarkStart w:id="12" w:name="_PAR__11_e098b19c_93d8_4409_90a4_33e6625"/>
      <w:bookmarkEnd w:id="0"/>
      <w:bookmarkEnd w:id="10"/>
      <w:r>
        <w:rPr>
          <w:rFonts w:ascii="Arial" w:eastAsia="Arial" w:hAnsi="Arial" w:cs="Arial"/>
        </w:rPr>
        <w:t>Amend the bill by striking out everything after the enacting clause and inserting the following:</w:t>
      </w:r>
    </w:p>
    <w:p w:rsidR="00EE27F7" w:rsidP="00EE27F7">
      <w:pPr>
        <w:ind w:left="360" w:firstLine="360"/>
        <w:rPr>
          <w:rFonts w:ascii="Arial" w:eastAsia="Arial" w:hAnsi="Arial" w:cs="Arial"/>
        </w:rPr>
      </w:pPr>
      <w:bookmarkStart w:id="13" w:name="_PAR__12_08119383_b1a8_4528_afb1_bb31dc3"/>
      <w:bookmarkEnd w:id="12"/>
      <w:r>
        <w:rPr>
          <w:rFonts w:ascii="Arial" w:eastAsia="Arial" w:hAnsi="Arial" w:cs="Arial"/>
        </w:rPr>
        <w:t>'</w:t>
      </w:r>
      <w:r>
        <w:rPr>
          <w:rFonts w:ascii="Arial" w:eastAsia="Arial" w:hAnsi="Arial" w:cs="Arial"/>
          <w:b/>
          <w:sz w:val="24"/>
        </w:rPr>
        <w:t>Sec. 1.  14 MRSA §752-C, sub-§3</w:t>
      </w:r>
      <w:r>
        <w:rPr>
          <w:rFonts w:ascii="Arial" w:eastAsia="Arial" w:hAnsi="Arial" w:cs="Arial"/>
        </w:rPr>
        <w:t xml:space="preserve"> is enacted to read:</w:t>
      </w:r>
    </w:p>
    <w:p w:rsidR="00EE27F7" w:rsidP="00EE27F7">
      <w:pPr>
        <w:ind w:left="360" w:firstLine="360"/>
        <w:rPr>
          <w:rFonts w:ascii="Arial" w:eastAsia="Arial" w:hAnsi="Arial" w:cs="Arial"/>
        </w:rPr>
      </w:pPr>
      <w:bookmarkStart w:id="14" w:name="_PAR__13_1b104183_5e42_4cdf_9977_1705e4b"/>
      <w:bookmarkEnd w:id="13"/>
      <w:r>
        <w:rPr>
          <w:rFonts w:ascii="Arial" w:eastAsia="Arial" w:hAnsi="Arial" w:cs="Arial"/>
          <w:b/>
          <w:u w:val="single"/>
        </w:rPr>
        <w:t xml:space="preserve">3.  Application. </w:t>
      </w:r>
      <w:r>
        <w:rPr>
          <w:rFonts w:ascii="Arial" w:eastAsia="Arial" w:hAnsi="Arial" w:cs="Arial"/>
          <w:u w:val="single"/>
        </w:rPr>
        <w:t xml:space="preserve"> This section applies to all actions based upon sexual acts toward minors regardless of the date of the sexual act and regardless of whether the statute of limitations on such actions expired prior to the effective date of this subsection.</w:t>
      </w:r>
    </w:p>
    <w:p w:rsidR="00EE27F7" w:rsidP="00EE27F7">
      <w:pPr>
        <w:ind w:left="360" w:firstLine="360"/>
        <w:rPr>
          <w:rFonts w:ascii="Arial" w:eastAsia="Arial" w:hAnsi="Arial" w:cs="Arial"/>
        </w:rPr>
      </w:pPr>
      <w:bookmarkStart w:id="15" w:name="_PAR__14_c9c2ab1d_86b6_426f_b234_967b21b"/>
      <w:bookmarkEnd w:id="14"/>
      <w:r>
        <w:rPr>
          <w:rFonts w:ascii="Arial" w:eastAsia="Arial" w:hAnsi="Arial" w:cs="Arial"/>
          <w:b/>
          <w:sz w:val="24"/>
        </w:rPr>
        <w:t xml:space="preserve">Sec. 2.  </w:t>
      </w:r>
      <w:r w:rsidRPr="00FD07CB">
        <w:rPr>
          <w:rFonts w:ascii="Arial" w:eastAsia="Arial" w:hAnsi="Arial" w:cs="Arial"/>
          <w:b/>
          <w:sz w:val="24"/>
        </w:rPr>
        <w:t xml:space="preserve">PL 1999, c. 639, §2 </w:t>
      </w:r>
      <w:r w:rsidRPr="00FD07CB">
        <w:rPr>
          <w:rFonts w:ascii="Arial" w:eastAsia="Arial" w:hAnsi="Arial" w:cs="Arial"/>
          <w:sz w:val="24"/>
        </w:rPr>
        <w:t>is repealed.</w:t>
      </w:r>
      <w:r>
        <w:rPr>
          <w:rFonts w:ascii="Arial" w:eastAsia="Arial" w:hAnsi="Arial" w:cs="Arial"/>
        </w:rPr>
        <w:t>'</w:t>
      </w:r>
    </w:p>
    <w:p w:rsidR="00EE27F7" w:rsidP="00EE27F7">
      <w:pPr>
        <w:ind w:left="360" w:firstLine="360"/>
        <w:rPr>
          <w:rFonts w:ascii="Arial" w:eastAsia="Arial" w:hAnsi="Arial" w:cs="Arial"/>
        </w:rPr>
      </w:pPr>
      <w:bookmarkStart w:id="16" w:name="_INSTRUCTION__32387636_52f7_4f08_bf12_8b"/>
      <w:bookmarkStart w:id="17" w:name="_PAR__15_b3f4174c_0ff4_47a3_a2ff_1ad0e9f"/>
      <w:bookmarkEnd w:id="11"/>
      <w:bookmarkEnd w:id="15"/>
      <w:r>
        <w:rPr>
          <w:rFonts w:ascii="Arial" w:eastAsia="Arial" w:hAnsi="Arial" w:cs="Arial"/>
        </w:rPr>
        <w:t>Amend the bill by relettering or renumbering any nonconsecutive Part letter or section number to read consecutively.</w:t>
      </w:r>
    </w:p>
    <w:p w:rsidR="00EE27F7" w:rsidP="00EE27F7">
      <w:pPr>
        <w:keepNext/>
        <w:spacing w:before="240"/>
        <w:ind w:left="360"/>
        <w:jc w:val="center"/>
        <w:rPr>
          <w:rFonts w:ascii="Arial" w:eastAsia="Arial" w:hAnsi="Arial" w:cs="Arial"/>
        </w:rPr>
      </w:pPr>
      <w:bookmarkStart w:id="18" w:name="_SUMMARY__6ff06654_4361_441c_a0d7_297cf4"/>
      <w:bookmarkStart w:id="19" w:name="_PAR__16_5e583dce_ba28_420b_8ee6_407796b"/>
      <w:bookmarkEnd w:id="16"/>
      <w:bookmarkEnd w:id="17"/>
      <w:r>
        <w:rPr>
          <w:rFonts w:ascii="Arial" w:eastAsia="Arial" w:hAnsi="Arial" w:cs="Arial"/>
          <w:b/>
          <w:sz w:val="24"/>
        </w:rPr>
        <w:t>SUMMARY</w:t>
      </w:r>
    </w:p>
    <w:p w:rsidR="00000000" w:rsidP="00EE27F7">
      <w:pPr>
        <w:ind w:left="360" w:firstLine="360"/>
        <w:rPr>
          <w:rFonts w:ascii="Arial" w:eastAsia="Arial" w:hAnsi="Arial" w:cs="Arial"/>
        </w:rPr>
      </w:pPr>
      <w:bookmarkStart w:id="20" w:name="_PAR__17_b3a5b2bd_14c6_43c5_8749_924160f"/>
      <w:bookmarkEnd w:id="19"/>
      <w:r w:rsidRPr="00FD07CB">
        <w:rPr>
          <w:rFonts w:ascii="Arial" w:eastAsia="Arial" w:hAnsi="Arial" w:cs="Arial"/>
        </w:rPr>
        <w:t xml:space="preserve">This amendment is the majority report of the committee.  It replaces the bill.  It allows civil actions based upon sexual acts toward minors regardless of the date of the sexual act and revives actions that may previously have been barred by a statute of limitations in force prior to the effective date of </w:t>
      </w:r>
      <w:r>
        <w:rPr>
          <w:rFonts w:ascii="Arial" w:eastAsia="Arial" w:hAnsi="Arial" w:cs="Arial"/>
        </w:rPr>
        <w:t>Public</w:t>
      </w:r>
      <w:r w:rsidRPr="00FD07CB">
        <w:rPr>
          <w:rFonts w:ascii="Arial" w:eastAsia="Arial" w:hAnsi="Arial" w:cs="Arial"/>
        </w:rPr>
        <w:t xml:space="preserve"> </w:t>
      </w:r>
      <w:r>
        <w:rPr>
          <w:rFonts w:ascii="Arial" w:eastAsia="Arial" w:hAnsi="Arial" w:cs="Arial"/>
        </w:rPr>
        <w:t>L</w:t>
      </w:r>
      <w:r w:rsidRPr="00FD07CB">
        <w:rPr>
          <w:rFonts w:ascii="Arial" w:eastAsia="Arial" w:hAnsi="Arial" w:cs="Arial"/>
        </w:rPr>
        <w:t>aw</w:t>
      </w:r>
      <w:r>
        <w:rPr>
          <w:rFonts w:ascii="Arial" w:eastAsia="Arial" w:hAnsi="Arial" w:cs="Arial"/>
        </w:rPr>
        <w:t xml:space="preserve"> 1999, chapter 639</w:t>
      </w:r>
      <w:r w:rsidRPr="00FD07CB">
        <w:rPr>
          <w:rFonts w:ascii="Arial" w:eastAsia="Arial" w:hAnsi="Arial" w:cs="Arial"/>
        </w:rPr>
        <w:t>.</w:t>
      </w:r>
      <w:bookmarkEnd w:id="1"/>
      <w:bookmarkEnd w:id="18"/>
      <w:bookmarkEnd w:id="20"/>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LR0304,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Provide Access to Justice for Victims of Child Sexual Abuse</w:t>
    </w:r>
  </w:p>
  <w:p>
    <w:pPr>
      <w:suppressLineNumbers/>
      <w:spacing w:before="0" w:after="0"/>
      <w:jc w:val="center"/>
      <w:rPr>
        <w:rFonts w:ascii="Arial" w:eastAsia="Arial" w:hAnsi="Arial" w:cs="Arial"/>
      </w:rPr>
    </w:pPr>
    <w:r>
      <w:rPr>
        <w:rFonts w:ascii="Arial" w:eastAsia="Arial" w:hAnsi="Arial" w:cs="Arial"/>
        <w:sz w:val="22"/>
      </w:rPr>
      <w:t>L.D. 589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EE27F7"/>
    <w:rsid w:val="00F23B45"/>
    <w:rsid w:val="00F93201"/>
    <w:rsid w:val="00FD07CB"/>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