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Consumer Protections for Community Solar Projects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370 - L.D. 507</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Improve Consumer Protections for Community Solar Projects</w:t>
      </w:r>
    </w:p>
    <w:p w:rsidR="00DE62FA" w:rsidP="00DE62FA">
      <w:pPr>
        <w:ind w:left="360"/>
        <w:rPr>
          <w:rFonts w:ascii="Arial" w:eastAsia="Arial" w:hAnsi="Arial" w:cs="Arial"/>
        </w:rPr>
      </w:pPr>
      <w:bookmarkStart w:id="0" w:name="_ENACTING_CLAUSE__565f8323_a52e_4f44_bd3"/>
      <w:bookmarkStart w:id="1" w:name="_PAR__1_14d43dca_9223_4c5d_b405_f2e67f80"/>
      <w:bookmarkStart w:id="2" w:name="_DOC_BODY_CONTAINER__eab29860_3cad_41aa_"/>
      <w:r>
        <w:rPr>
          <w:rFonts w:ascii="Arial" w:eastAsia="Arial" w:hAnsi="Arial" w:cs="Arial"/>
          <w:b/>
        </w:rPr>
        <w:t>Be it enacted by the People of the State of Maine as follows:</w:t>
      </w:r>
    </w:p>
    <w:p w:rsidR="00DE62FA" w:rsidP="00DE62FA">
      <w:pPr>
        <w:ind w:left="360" w:firstLine="360"/>
        <w:rPr>
          <w:rFonts w:ascii="Arial" w:eastAsia="Arial" w:hAnsi="Arial" w:cs="Arial"/>
        </w:rPr>
      </w:pPr>
      <w:bookmarkStart w:id="3" w:name="_BILL_SECTION_HEADER__d1f849d5_94cf_4507"/>
      <w:bookmarkStart w:id="4" w:name="_PAR__2_631473ba_9d52_451d_818b_ce73d7f9"/>
      <w:bookmarkStart w:id="5" w:name="_BILL_SECTION__1812784a_f32b_4889_8e73_d"/>
      <w:bookmarkStart w:id="6" w:name="_DOC_BODY_CONTENT__0dcc9fa0_d181_4a88_a4"/>
      <w:bookmarkEnd w:id="0"/>
      <w:bookmarkEnd w:id="1"/>
      <w:r>
        <w:rPr>
          <w:rFonts w:ascii="Arial" w:eastAsia="Arial" w:hAnsi="Arial" w:cs="Arial"/>
          <w:b/>
          <w:sz w:val="24"/>
        </w:rPr>
        <w:t xml:space="preserve">Sec. </w:t>
      </w:r>
      <w:bookmarkStart w:id="7" w:name="_BILL_SECTION_NUMBER__b0d80c25_23a5_4d82"/>
      <w:r>
        <w:rPr>
          <w:rFonts w:ascii="Arial" w:eastAsia="Arial" w:hAnsi="Arial" w:cs="Arial"/>
          <w:b/>
          <w:sz w:val="24"/>
        </w:rPr>
        <w:t>1</w:t>
      </w:r>
      <w:bookmarkEnd w:id="7"/>
      <w:r>
        <w:rPr>
          <w:rFonts w:ascii="Arial" w:eastAsia="Arial" w:hAnsi="Arial" w:cs="Arial"/>
          <w:b/>
          <w:sz w:val="24"/>
        </w:rPr>
        <w:t>.  35-A MRSA §3209-A, sub-§1, ¶D</w:t>
      </w:r>
      <w:r>
        <w:rPr>
          <w:rFonts w:ascii="Arial" w:eastAsia="Arial" w:hAnsi="Arial" w:cs="Arial"/>
        </w:rPr>
        <w:t xml:space="preserve"> is enacted to read:</w:t>
      </w:r>
    </w:p>
    <w:p w:rsidR="00DE62FA" w:rsidP="00DE62FA">
      <w:pPr>
        <w:ind w:left="720"/>
        <w:rPr>
          <w:rFonts w:ascii="Arial" w:eastAsia="Arial" w:hAnsi="Arial" w:cs="Arial"/>
        </w:rPr>
      </w:pPr>
      <w:bookmarkStart w:id="8" w:name="_STATUTE_NUMBER__eab951b8_c984_43d0_87e1"/>
      <w:bookmarkStart w:id="9" w:name="_STATUTE_P__8c93d1a8_01aa_49ed_85da_c07e"/>
      <w:bookmarkStart w:id="10" w:name="_PAR__3_cca870db_e32a_444f_bb37_1b554ed8"/>
      <w:bookmarkEnd w:id="3"/>
      <w:bookmarkEnd w:id="4"/>
      <w:r>
        <w:rPr>
          <w:rFonts w:ascii="Arial" w:eastAsia="Arial" w:hAnsi="Arial" w:cs="Arial"/>
          <w:u w:val="single"/>
        </w:rPr>
        <w:t>D</w:t>
      </w:r>
      <w:bookmarkEnd w:id="8"/>
      <w:r>
        <w:rPr>
          <w:rFonts w:ascii="Arial" w:eastAsia="Arial" w:hAnsi="Arial" w:cs="Arial"/>
          <w:u w:val="single"/>
        </w:rPr>
        <w:t xml:space="preserve">.  </w:t>
      </w:r>
      <w:bookmarkStart w:id="11" w:name="_STATUTE_CONTENT__1a7364db_a50a_4d50_92b"/>
      <w:r>
        <w:rPr>
          <w:rFonts w:ascii="Arial" w:eastAsia="Arial" w:hAnsi="Arial" w:cs="Arial"/>
          <w:u w:val="single"/>
        </w:rPr>
        <w:t>"Project sponsor" means an entity or its successor or assignee that solicits customers to participate in a net energy billing arrangement based upon a shared financial interest in a distributed generation resource.</w:t>
      </w:r>
    </w:p>
    <w:p w:rsidR="00DE62FA" w:rsidP="00DE62FA">
      <w:pPr>
        <w:ind w:left="360" w:firstLine="360"/>
        <w:rPr>
          <w:rFonts w:ascii="Arial" w:eastAsia="Arial" w:hAnsi="Arial" w:cs="Arial"/>
        </w:rPr>
      </w:pPr>
      <w:bookmarkStart w:id="12" w:name="_BILL_SECTION_HEADER__b1e69691_1ca4_4682"/>
      <w:bookmarkStart w:id="13" w:name="_BILL_SECTION__2f1f87e7_a8e7_4356_acb7_1"/>
      <w:bookmarkStart w:id="14" w:name="_INSTRUCTION__f8468593_c9ae_4519_ad31_9d"/>
      <w:bookmarkEnd w:id="5"/>
      <w:bookmarkEnd w:id="9"/>
      <w:bookmarkEnd w:id="10"/>
      <w:bookmarkEnd w:id="11"/>
      <w:r>
        <w:rPr>
          <w:rFonts w:ascii="Arial" w:eastAsia="Arial" w:hAnsi="Arial" w:cs="Arial"/>
          <w:b/>
          <w:sz w:val="24"/>
        </w:rPr>
        <w:t xml:space="preserve">Sec. </w:t>
      </w:r>
      <w:bookmarkStart w:id="15" w:name="_BILL_SECTION_NUMBER__9b3356e8_8b05_4da6"/>
      <w:r>
        <w:rPr>
          <w:rFonts w:ascii="Arial" w:eastAsia="Arial" w:hAnsi="Arial" w:cs="Arial"/>
          <w:b/>
          <w:sz w:val="24"/>
        </w:rPr>
        <w:t>2</w:t>
      </w:r>
      <w:bookmarkEnd w:id="15"/>
      <w:r>
        <w:rPr>
          <w:rFonts w:ascii="Arial" w:eastAsia="Arial" w:hAnsi="Arial" w:cs="Arial"/>
          <w:b/>
          <w:sz w:val="24"/>
        </w:rPr>
        <w:t>.  35-A MRSA §3209-A, sub-§5</w:t>
      </w:r>
      <w:r>
        <w:rPr>
          <w:rFonts w:ascii="Arial" w:eastAsia="Arial" w:hAnsi="Arial" w:cs="Arial"/>
        </w:rPr>
        <w:t xml:space="preserve"> is enacted to read:</w:t>
      </w:r>
    </w:p>
    <w:p w:rsidR="00DE62FA" w:rsidP="00DE62FA">
      <w:pPr>
        <w:ind w:left="360" w:firstLine="360"/>
        <w:rPr>
          <w:rFonts w:ascii="Arial" w:eastAsia="Arial" w:hAnsi="Arial" w:cs="Arial"/>
        </w:rPr>
      </w:pPr>
      <w:bookmarkStart w:id="16" w:name="_STATUTE_NUMBER__8fed241c_d0d9_453f_805a"/>
      <w:bookmarkStart w:id="17" w:name="_REV__cb3bff9e_b226_491c_9f92_2e60254b40"/>
      <w:bookmarkStart w:id="18" w:name="_PROCESSED_CHANGE__61459e5f_bcaf_402d_83"/>
      <w:bookmarkStart w:id="19" w:name="_PROCESSED_CHANGE__42effc06_d181_4080_a4"/>
      <w:bookmarkStart w:id="20" w:name="_PROCESSED_CHANGE__767d16c2_d5eb_42c0_84"/>
      <w:bookmarkStart w:id="21" w:name="_PROCESSED_CHANGE__87ec2f88_7515_4c1a_b4"/>
      <w:bookmarkStart w:id="22" w:name="_PROCESSED_CHANGE__c8eb629a_3d0d_4153_97"/>
      <w:bookmarkStart w:id="23" w:name="_STATUTE_SS__053518db_30c3_46b2_bae2_12b"/>
      <w:bookmarkEnd w:id="12"/>
      <w:r>
        <w:rPr>
          <w:rFonts w:ascii="Arial" w:eastAsia="Arial" w:hAnsi="Arial" w:cs="Arial"/>
          <w:b/>
          <w:u w:val="single"/>
        </w:rPr>
        <w:t>5</w:t>
      </w:r>
      <w:bookmarkEnd w:id="16"/>
      <w:r>
        <w:rPr>
          <w:rFonts w:ascii="Arial" w:eastAsia="Arial" w:hAnsi="Arial" w:cs="Arial"/>
          <w:b/>
          <w:u w:val="single"/>
        </w:rPr>
        <w:t xml:space="preserve">.  </w:t>
      </w:r>
      <w:bookmarkStart w:id="24" w:name="_STATUTE_HEADNOTE__fb7cc12c_a310_4c0a_bd"/>
      <w:r>
        <w:rPr>
          <w:rFonts w:ascii="Arial" w:eastAsia="Arial" w:hAnsi="Arial" w:cs="Arial"/>
          <w:b/>
          <w:u w:val="single"/>
        </w:rPr>
        <w:t xml:space="preserve">Consumer protection. </w:t>
      </w:r>
      <w:r>
        <w:rPr>
          <w:rFonts w:ascii="Arial" w:eastAsia="Arial" w:hAnsi="Arial" w:cs="Arial"/>
          <w:u w:val="single"/>
        </w:rPr>
        <w:t xml:space="preserve"> </w:t>
      </w:r>
      <w:bookmarkStart w:id="25" w:name="_STATUTE_CONTENT__e5dc02ab_6bcb_4a9b_b60"/>
      <w:bookmarkEnd w:id="24"/>
      <w:r>
        <w:rPr>
          <w:rFonts w:ascii="Arial" w:eastAsia="Arial" w:hAnsi="Arial" w:cs="Arial"/>
          <w:u w:val="single"/>
        </w:rPr>
        <w:t>To protect customers who participate in or are solicited to participate in a net energy billing arrangement based upon a shared financial interest in a distributed generation resource from fraud or unfair and deceptive business practices, a project sponsor:</w:t>
      </w:r>
    </w:p>
    <w:p w:rsidR="00DE62FA" w:rsidP="00DE62FA">
      <w:pPr>
        <w:ind w:left="720"/>
        <w:rPr>
          <w:rFonts w:ascii="Arial" w:eastAsia="Arial" w:hAnsi="Arial" w:cs="Arial"/>
        </w:rPr>
      </w:pPr>
      <w:bookmarkStart w:id="26" w:name="_STATUTE_NUMBER__4c0035cb_7ac7_4c51_8e1a"/>
      <w:bookmarkStart w:id="27" w:name="_STATUTE_P__ee0efb55_dcc6_4a78_80cb_a509"/>
      <w:bookmarkStart w:id="28" w:name="_REV__38035dcd_2e75_4f67_a97b_e9d44305d7"/>
      <w:bookmarkEnd w:id="17"/>
      <w:bookmarkEnd w:id="25"/>
      <w:r>
        <w:rPr>
          <w:rFonts w:ascii="Arial" w:eastAsia="Arial" w:hAnsi="Arial" w:cs="Arial"/>
          <w:u w:val="single"/>
        </w:rPr>
        <w:t>A</w:t>
      </w:r>
      <w:bookmarkEnd w:id="26"/>
      <w:r>
        <w:rPr>
          <w:rFonts w:ascii="Arial" w:eastAsia="Arial" w:hAnsi="Arial" w:cs="Arial"/>
          <w:u w:val="single"/>
        </w:rPr>
        <w:t xml:space="preserve">.  </w:t>
      </w:r>
      <w:bookmarkStart w:id="29" w:name="_STATUTE_CONTENT__6922e0e6_e695_4668_91d"/>
      <w:r>
        <w:rPr>
          <w:rFonts w:ascii="Arial" w:eastAsia="Arial" w:hAnsi="Arial" w:cs="Arial"/>
          <w:u w:val="single"/>
        </w:rPr>
        <w:t>Must obtain a customer's explicit affirmative authorization before serving the customer;</w:t>
      </w:r>
    </w:p>
    <w:p w:rsidR="00DE62FA" w:rsidP="00DE62FA">
      <w:pPr>
        <w:ind w:left="720"/>
        <w:rPr>
          <w:rFonts w:ascii="Arial" w:eastAsia="Arial" w:hAnsi="Arial" w:cs="Arial"/>
        </w:rPr>
      </w:pPr>
      <w:bookmarkStart w:id="30" w:name="_STATUTE_NUMBER__4b4021b0_b264_4410_ae2c"/>
      <w:bookmarkStart w:id="31" w:name="_STATUTE_P__1cd28c2a_24c8_4e9f_a0e6_c58b"/>
      <w:bookmarkStart w:id="32" w:name="_REV__ac8d49df_7093_41c3_8e9f_c98764d6ce"/>
      <w:bookmarkEnd w:id="27"/>
      <w:bookmarkEnd w:id="28"/>
      <w:bookmarkEnd w:id="29"/>
      <w:r>
        <w:rPr>
          <w:rFonts w:ascii="Arial" w:eastAsia="Arial" w:hAnsi="Arial" w:cs="Arial"/>
          <w:u w:val="single"/>
        </w:rPr>
        <w:t>B</w:t>
      </w:r>
      <w:bookmarkEnd w:id="30"/>
      <w:r>
        <w:rPr>
          <w:rFonts w:ascii="Arial" w:eastAsia="Arial" w:hAnsi="Arial" w:cs="Arial"/>
          <w:u w:val="single"/>
        </w:rPr>
        <w:t xml:space="preserve">.  </w:t>
      </w:r>
      <w:bookmarkStart w:id="33" w:name="_STATUTE_CONTENT__8ad94005_9892_4378_afc"/>
      <w:r>
        <w:rPr>
          <w:rFonts w:ascii="Arial" w:eastAsia="Arial" w:hAnsi="Arial" w:cs="Arial"/>
          <w:u w:val="single"/>
        </w:rPr>
        <w:t>Must provide to a residential customer such information as the commission may require by rule or order in a standard disclosure form before entering into an agreement with the residential customer to participate in a net energy billing arrangement based upon a shared financial interest in a distributed generation resource;</w:t>
      </w:r>
    </w:p>
    <w:p w:rsidR="00DE62FA" w:rsidP="00DE62FA">
      <w:pPr>
        <w:ind w:left="720"/>
        <w:rPr>
          <w:rFonts w:ascii="Arial" w:eastAsia="Arial" w:hAnsi="Arial" w:cs="Arial"/>
        </w:rPr>
      </w:pPr>
      <w:bookmarkStart w:id="34" w:name="_STATUTE_NUMBER__ae827274_c309_484e_8a7a"/>
      <w:bookmarkStart w:id="35" w:name="_STATUTE_P__d6ef408e_811e_4299_8f08_bacb"/>
      <w:bookmarkStart w:id="36" w:name="_REV__cd0ce6e2_0266_49a5_ae39_e271c09d05"/>
      <w:bookmarkEnd w:id="31"/>
      <w:bookmarkEnd w:id="32"/>
      <w:bookmarkEnd w:id="33"/>
      <w:r>
        <w:rPr>
          <w:rFonts w:ascii="Arial" w:eastAsia="Arial" w:hAnsi="Arial" w:cs="Arial"/>
          <w:u w:val="single"/>
        </w:rPr>
        <w:t>C</w:t>
      </w:r>
      <w:bookmarkEnd w:id="34"/>
      <w:r>
        <w:rPr>
          <w:rFonts w:ascii="Arial" w:eastAsia="Arial" w:hAnsi="Arial" w:cs="Arial"/>
          <w:u w:val="single"/>
        </w:rPr>
        <w:t xml:space="preserve">.  </w:t>
      </w:r>
      <w:bookmarkStart w:id="37" w:name="_STATUTE_CONTENT__a371c7e0_d4b9_4f55_85e"/>
      <w:r>
        <w:rPr>
          <w:rFonts w:ascii="Arial" w:eastAsia="Arial" w:hAnsi="Arial" w:cs="Arial"/>
          <w:u w:val="single"/>
        </w:rPr>
        <w:t>Must allow a customer to rescind the customer</w:t>
      </w:r>
      <w:r>
        <w:rPr>
          <w:rFonts w:ascii="Arial" w:eastAsia="Arial" w:hAnsi="Arial" w:cs="Arial"/>
          <w:u w:val="single"/>
        </w:rPr>
        <w:t>'</w:t>
      </w:r>
      <w:r>
        <w:rPr>
          <w:rFonts w:ascii="Arial" w:eastAsia="Arial" w:hAnsi="Arial" w:cs="Arial"/>
          <w:u w:val="single"/>
        </w:rPr>
        <w:t xml:space="preserve">s decision to participate in a net energy billing arrangement based upon a shared financial interest in a distributed generation resource, </w:t>
      </w:r>
      <w:r>
        <w:rPr>
          <w:rFonts w:ascii="Arial" w:eastAsia="Arial" w:hAnsi="Arial" w:cs="Arial"/>
          <w:u w:val="single"/>
        </w:rPr>
        <w:t>as long as</w:t>
      </w:r>
      <w:r>
        <w:rPr>
          <w:rFonts w:ascii="Arial" w:eastAsia="Arial" w:hAnsi="Arial" w:cs="Arial"/>
          <w:u w:val="single"/>
        </w:rPr>
        <w:t xml:space="preserve"> the customer requests such rescission orally or in writing within 5 days of the customer</w:t>
      </w:r>
      <w:r>
        <w:rPr>
          <w:rFonts w:ascii="Arial" w:eastAsia="Arial" w:hAnsi="Arial" w:cs="Arial"/>
          <w:u w:val="single"/>
        </w:rPr>
        <w:t>'</w:t>
      </w:r>
      <w:r>
        <w:rPr>
          <w:rFonts w:ascii="Arial" w:eastAsia="Arial" w:hAnsi="Arial" w:cs="Arial"/>
          <w:u w:val="single"/>
        </w:rPr>
        <w:t>s receipt of the first bill or invoice under the arrangement that the customer is responsible for paying in full;</w:t>
      </w:r>
    </w:p>
    <w:p w:rsidR="00DE62FA" w:rsidP="00DE62FA">
      <w:pPr>
        <w:ind w:left="720"/>
        <w:rPr>
          <w:rFonts w:ascii="Arial" w:eastAsia="Arial" w:hAnsi="Arial" w:cs="Arial"/>
        </w:rPr>
      </w:pPr>
      <w:bookmarkStart w:id="38" w:name="_STATUTE_NUMBER__2a4ec72c_9b74_4260_976e"/>
      <w:bookmarkStart w:id="39" w:name="_STATUTE_P__d0e09b1e_aa58_4631_b8f7_ebde"/>
      <w:bookmarkStart w:id="40" w:name="_REV__3419ed14_534c_4d4c_ac65_c369be1b92"/>
      <w:bookmarkEnd w:id="35"/>
      <w:bookmarkEnd w:id="36"/>
      <w:bookmarkEnd w:id="37"/>
      <w:r>
        <w:rPr>
          <w:rFonts w:ascii="Arial" w:eastAsia="Arial" w:hAnsi="Arial" w:cs="Arial"/>
          <w:u w:val="single"/>
        </w:rPr>
        <w:t>D</w:t>
      </w:r>
      <w:bookmarkEnd w:id="38"/>
      <w:r>
        <w:rPr>
          <w:rFonts w:ascii="Arial" w:eastAsia="Arial" w:hAnsi="Arial" w:cs="Arial"/>
          <w:u w:val="single"/>
        </w:rPr>
        <w:t xml:space="preserve">.  </w:t>
      </w:r>
      <w:bookmarkStart w:id="41" w:name="_STATUTE_CONTENT__5bfe78ed_3ada_46a5_b59"/>
      <w:r>
        <w:rPr>
          <w:rFonts w:ascii="Arial" w:eastAsia="Arial" w:hAnsi="Arial" w:cs="Arial"/>
          <w:u w:val="single"/>
        </w:rPr>
        <w:t>May not collect or seek to collect unreasonable costs from a customer who is in default;</w:t>
      </w:r>
    </w:p>
    <w:p w:rsidR="00DE62FA" w:rsidP="00DE62FA">
      <w:pPr>
        <w:ind w:left="720"/>
        <w:rPr>
          <w:rFonts w:ascii="Arial" w:eastAsia="Arial" w:hAnsi="Arial" w:cs="Arial"/>
        </w:rPr>
      </w:pPr>
      <w:bookmarkStart w:id="42" w:name="_STATUTE_NUMBER__d1d6debc_f1d5_41e6_9f99"/>
      <w:bookmarkStart w:id="43" w:name="_STATUTE_P__8c58040a_3cd4_4d95_bf8f_8b41"/>
      <w:bookmarkStart w:id="44" w:name="_REV__ef92c76b_72e6_4837_8480_d5eb7b5eb4"/>
      <w:bookmarkEnd w:id="39"/>
      <w:bookmarkEnd w:id="40"/>
      <w:bookmarkEnd w:id="41"/>
      <w:r>
        <w:rPr>
          <w:rFonts w:ascii="Arial" w:eastAsia="Arial" w:hAnsi="Arial" w:cs="Arial"/>
          <w:u w:val="single"/>
        </w:rPr>
        <w:t>E</w:t>
      </w:r>
      <w:bookmarkEnd w:id="42"/>
      <w:r>
        <w:rPr>
          <w:rFonts w:ascii="Arial" w:eastAsia="Arial" w:hAnsi="Arial" w:cs="Arial"/>
          <w:u w:val="single"/>
        </w:rPr>
        <w:t xml:space="preserve">.  </w:t>
      </w:r>
      <w:bookmarkStart w:id="45" w:name="_STATUTE_CONTENT__fb0527fb_9596_46ae_9ed"/>
      <w:r>
        <w:rPr>
          <w:rFonts w:ascii="Arial" w:eastAsia="Arial" w:hAnsi="Arial" w:cs="Arial"/>
          <w:u w:val="single"/>
        </w:rPr>
        <w:t>Must comply with any other applicable standards or requirements adopted by the commission by rule or order;</w:t>
      </w:r>
    </w:p>
    <w:p w:rsidR="00DE62FA" w:rsidP="00DE62FA">
      <w:pPr>
        <w:ind w:left="720"/>
        <w:rPr>
          <w:rFonts w:ascii="Arial" w:eastAsia="Arial" w:hAnsi="Arial" w:cs="Arial"/>
        </w:rPr>
      </w:pPr>
      <w:bookmarkStart w:id="46" w:name="_STATUTE_NUMBER__98d8d2a5_b922_4f19_9407"/>
      <w:bookmarkStart w:id="47" w:name="_STATUTE_P__f5be9fc9_040d_4b31_82b5_1e85"/>
      <w:bookmarkStart w:id="48" w:name="_REV__967661c3_7312_470c_aa22_f24d188814"/>
      <w:bookmarkEnd w:id="43"/>
      <w:bookmarkEnd w:id="44"/>
      <w:bookmarkEnd w:id="45"/>
      <w:r>
        <w:rPr>
          <w:rFonts w:ascii="Arial" w:eastAsia="Arial" w:hAnsi="Arial" w:cs="Arial"/>
          <w:u w:val="single"/>
        </w:rPr>
        <w:t>F</w:t>
      </w:r>
      <w:bookmarkEnd w:id="46"/>
      <w:r>
        <w:rPr>
          <w:rFonts w:ascii="Arial" w:eastAsia="Arial" w:hAnsi="Arial" w:cs="Arial"/>
          <w:u w:val="single"/>
        </w:rPr>
        <w:t xml:space="preserve">.  </w:t>
      </w:r>
      <w:bookmarkStart w:id="49" w:name="_STATUTE_CONTENT__7eaf8ced_a213_417a_973"/>
      <w:r>
        <w:rPr>
          <w:rFonts w:ascii="Arial" w:eastAsia="Arial" w:hAnsi="Arial" w:cs="Arial"/>
          <w:u w:val="single"/>
        </w:rPr>
        <w:t>May not release to any other entity, other than for purposes of debt collection or credit reporting pursuant to state and federal law or to law enforcement agencies pursuant to lawful process, any personal information regarding a customer, including name, address, telephone number and usage and historical payment information, without the explicit affirmative consent of the customer;</w:t>
      </w:r>
    </w:p>
    <w:p w:rsidR="00DE62FA" w:rsidP="00DE62FA">
      <w:pPr>
        <w:ind w:left="720"/>
        <w:rPr>
          <w:rFonts w:ascii="Arial" w:eastAsia="Arial" w:hAnsi="Arial" w:cs="Arial"/>
        </w:rPr>
      </w:pPr>
      <w:bookmarkStart w:id="50" w:name="_STATUTE_NUMBER__d4d63e4b_9900_4b2b_9ce0"/>
      <w:bookmarkStart w:id="51" w:name="_STATUTE_P__bcf05a8a_6326_402d_b362_1dfa"/>
      <w:bookmarkStart w:id="52" w:name="_REV__254cbced_063b_4e8a_8176_4c4390ee13"/>
      <w:bookmarkEnd w:id="47"/>
      <w:bookmarkEnd w:id="48"/>
      <w:bookmarkEnd w:id="49"/>
      <w:r>
        <w:rPr>
          <w:rFonts w:ascii="Arial" w:eastAsia="Arial" w:hAnsi="Arial" w:cs="Arial"/>
          <w:u w:val="single"/>
        </w:rPr>
        <w:t>G</w:t>
      </w:r>
      <w:bookmarkEnd w:id="50"/>
      <w:r>
        <w:rPr>
          <w:rFonts w:ascii="Arial" w:eastAsia="Arial" w:hAnsi="Arial" w:cs="Arial"/>
          <w:u w:val="single"/>
        </w:rPr>
        <w:t xml:space="preserve">.  </w:t>
      </w:r>
      <w:bookmarkStart w:id="53" w:name="_STATUTE_CONTENT__3e60ba9f_d65a_484d_82b"/>
      <w:r>
        <w:rPr>
          <w:rFonts w:ascii="Arial" w:eastAsia="Arial" w:hAnsi="Arial" w:cs="Arial"/>
          <w:u w:val="single"/>
        </w:rPr>
        <w:t>Must comply with the Maine Unfair Trade Practices Act;</w:t>
      </w:r>
    </w:p>
    <w:p w:rsidR="00DE62FA" w:rsidP="00DE62FA">
      <w:pPr>
        <w:ind w:left="720"/>
        <w:rPr>
          <w:rFonts w:ascii="Arial" w:eastAsia="Arial" w:hAnsi="Arial" w:cs="Arial"/>
        </w:rPr>
      </w:pPr>
      <w:bookmarkStart w:id="54" w:name="_STATUTE_NUMBER__1e1791cc_67ce_46b1_ad9c"/>
      <w:bookmarkStart w:id="55" w:name="_STATUTE_P__16458fdd_0f34_4900_8a91_1ed5"/>
      <w:bookmarkStart w:id="56" w:name="_REV__73156f6d_4dc6_461d_b150_19113a25b8"/>
      <w:bookmarkEnd w:id="51"/>
      <w:bookmarkEnd w:id="52"/>
      <w:bookmarkEnd w:id="53"/>
      <w:r>
        <w:rPr>
          <w:rFonts w:ascii="Arial" w:eastAsia="Arial" w:hAnsi="Arial" w:cs="Arial"/>
          <w:u w:val="single"/>
        </w:rPr>
        <w:t>H</w:t>
      </w:r>
      <w:bookmarkEnd w:id="54"/>
      <w:r>
        <w:rPr>
          <w:rFonts w:ascii="Arial" w:eastAsia="Arial" w:hAnsi="Arial" w:cs="Arial"/>
          <w:u w:val="single"/>
        </w:rPr>
        <w:t xml:space="preserve">.  </w:t>
      </w:r>
      <w:bookmarkStart w:id="57" w:name="_STATUTE_CONTENT__aaf4000d_fe2d_4a4b_a56"/>
      <w:r>
        <w:rPr>
          <w:rFonts w:ascii="Arial" w:eastAsia="Arial" w:hAnsi="Arial" w:cs="Arial"/>
          <w:u w:val="single"/>
        </w:rPr>
        <w:t>Must comply with all applicable provisions of the federal Equal Credit Opportunity Act, 15 United States Code, Sections 1691 to 1691f; and</w:t>
      </w:r>
    </w:p>
    <w:p w:rsidR="00DE62FA" w:rsidP="00DE62FA">
      <w:pPr>
        <w:ind w:left="720"/>
        <w:rPr>
          <w:rFonts w:ascii="Arial" w:eastAsia="Arial" w:hAnsi="Arial" w:cs="Arial"/>
        </w:rPr>
      </w:pPr>
      <w:bookmarkStart w:id="58" w:name="_STATUTE_NUMBER__12c779ef_1ce2_4a0d_ab52"/>
      <w:bookmarkStart w:id="59" w:name="_REV__146d03cf_1871_460b_a3ac_d06bb5fe14"/>
      <w:bookmarkStart w:id="60" w:name="_STATUTE_P__adb72f18_4a2e_4920_97f9_5840"/>
      <w:bookmarkEnd w:id="55"/>
      <w:bookmarkEnd w:id="56"/>
      <w:bookmarkEnd w:id="57"/>
      <w:r>
        <w:rPr>
          <w:rFonts w:ascii="Arial" w:eastAsia="Arial" w:hAnsi="Arial" w:cs="Arial"/>
          <w:u w:val="single"/>
        </w:rPr>
        <w:t>I</w:t>
      </w:r>
      <w:bookmarkEnd w:id="58"/>
      <w:r>
        <w:rPr>
          <w:rFonts w:ascii="Arial" w:eastAsia="Arial" w:hAnsi="Arial" w:cs="Arial"/>
          <w:u w:val="single"/>
        </w:rPr>
        <w:t xml:space="preserve">.  </w:t>
      </w:r>
      <w:bookmarkStart w:id="61" w:name="_STATUTE_CONTENT__da48749b_c61f_4e49_9d9"/>
      <w:r>
        <w:rPr>
          <w:rFonts w:ascii="Arial" w:eastAsia="Arial" w:hAnsi="Arial" w:cs="Arial"/>
          <w:u w:val="single"/>
        </w:rPr>
        <w:t>Must comply with all federal and state laws, federal regulations and state rules regarding the prohibition or limitation of telemarketing.</w:t>
      </w:r>
      <w:bookmarkEnd w:id="18"/>
    </w:p>
    <w:p w:rsidR="00DE62FA" w:rsidP="00DE62FA">
      <w:pPr>
        <w:ind w:left="360" w:firstLine="360"/>
        <w:rPr>
          <w:rFonts w:ascii="Arial" w:eastAsia="Arial" w:hAnsi="Arial" w:cs="Arial"/>
        </w:rPr>
      </w:pPr>
      <w:bookmarkStart w:id="62" w:name="_BILL_SECTION_HEADER__a6d46b85_9009_4f52"/>
      <w:bookmarkStart w:id="63" w:name="_BILL_SECTION__05f439e6_af9f_4bc6_8ca0_e"/>
      <w:bookmarkStart w:id="64" w:name="_INSTRUCTION__8039d3e4_91a1_475f_853f_e1"/>
      <w:bookmarkEnd w:id="13"/>
      <w:bookmarkEnd w:id="14"/>
      <w:bookmarkEnd w:id="19"/>
      <w:bookmarkEnd w:id="20"/>
      <w:bookmarkEnd w:id="21"/>
      <w:bookmarkEnd w:id="22"/>
      <w:bookmarkEnd w:id="23"/>
      <w:bookmarkEnd w:id="59"/>
      <w:bookmarkEnd w:id="60"/>
      <w:bookmarkEnd w:id="61"/>
      <w:r>
        <w:rPr>
          <w:rFonts w:ascii="Arial" w:eastAsia="Arial" w:hAnsi="Arial" w:cs="Arial"/>
          <w:b/>
          <w:sz w:val="24"/>
        </w:rPr>
        <w:t xml:space="preserve">Sec. </w:t>
      </w:r>
      <w:bookmarkStart w:id="65" w:name="_BILL_SECTION_NUMBER__c7c6c4d9_0f2e_4e3a"/>
      <w:r>
        <w:rPr>
          <w:rFonts w:ascii="Arial" w:eastAsia="Arial" w:hAnsi="Arial" w:cs="Arial"/>
          <w:b/>
          <w:sz w:val="24"/>
        </w:rPr>
        <w:t>3</w:t>
      </w:r>
      <w:bookmarkEnd w:id="65"/>
      <w:r>
        <w:rPr>
          <w:rFonts w:ascii="Arial" w:eastAsia="Arial" w:hAnsi="Arial" w:cs="Arial"/>
          <w:b/>
          <w:sz w:val="24"/>
        </w:rPr>
        <w:t>.  35-A MRSA §3209-A, sub-§6</w:t>
      </w:r>
      <w:r>
        <w:rPr>
          <w:rFonts w:ascii="Arial" w:eastAsia="Arial" w:hAnsi="Arial" w:cs="Arial"/>
        </w:rPr>
        <w:t xml:space="preserve"> is enacted to read:</w:t>
      </w:r>
    </w:p>
    <w:p w:rsidR="00DE62FA" w:rsidP="00DE62FA">
      <w:pPr>
        <w:ind w:left="360" w:firstLine="360"/>
        <w:rPr>
          <w:rFonts w:ascii="Arial" w:eastAsia="Arial" w:hAnsi="Arial" w:cs="Arial"/>
        </w:rPr>
      </w:pPr>
      <w:bookmarkStart w:id="66" w:name="_STATUTE_NUMBER__cb6b68ea_e98a_4763_9646"/>
      <w:bookmarkStart w:id="67" w:name="_PROCESSED_CHANGE__db136b69_1bec_495a_96"/>
      <w:bookmarkStart w:id="68" w:name="_PROCESSED_CHANGE__2a65f86f_e05b_4f92_85"/>
      <w:bookmarkStart w:id="69" w:name="_PROCESSED_CHANGE__588d7336_c784_49dc_a3"/>
      <w:bookmarkStart w:id="70" w:name="_PROCESSED_CHANGE__83caddda_6ff7_4cff_b6"/>
      <w:bookmarkStart w:id="71" w:name="_PROCESSED_CHANGE__d6f87457_2b47_434d_8d"/>
      <w:bookmarkStart w:id="72" w:name="_REV__e9156596_540a_43ac_bb2e_cec75929fc"/>
      <w:bookmarkStart w:id="73" w:name="_STATUTE_SS__48e1c62b_5154_4da0_ad99_616"/>
      <w:bookmarkEnd w:id="62"/>
      <w:r>
        <w:rPr>
          <w:rFonts w:ascii="Arial" w:eastAsia="Arial" w:hAnsi="Arial" w:cs="Arial"/>
          <w:b/>
          <w:u w:val="single"/>
        </w:rPr>
        <w:t>6</w:t>
      </w:r>
      <w:bookmarkEnd w:id="66"/>
      <w:r>
        <w:rPr>
          <w:rFonts w:ascii="Arial" w:eastAsia="Arial" w:hAnsi="Arial" w:cs="Arial"/>
          <w:b/>
          <w:u w:val="single"/>
        </w:rPr>
        <w:t xml:space="preserve">.  </w:t>
      </w:r>
      <w:bookmarkStart w:id="74" w:name="_STATUTE_HEADNOTE__261c56ba_e4f2_455b_87"/>
      <w:r>
        <w:rPr>
          <w:rFonts w:ascii="Arial" w:eastAsia="Arial" w:hAnsi="Arial" w:cs="Arial"/>
          <w:b/>
          <w:u w:val="single"/>
        </w:rPr>
        <w:t xml:space="preserve">Enforcement. </w:t>
      </w:r>
      <w:r>
        <w:rPr>
          <w:rFonts w:ascii="Arial" w:eastAsia="Arial" w:hAnsi="Arial" w:cs="Arial"/>
          <w:u w:val="single"/>
        </w:rPr>
        <w:t xml:space="preserve"> </w:t>
      </w:r>
      <w:bookmarkStart w:id="75" w:name="_STATUTE_CONTENT__321baf1e_b06b_432a_b3c"/>
      <w:bookmarkEnd w:id="74"/>
      <w:r>
        <w:rPr>
          <w:rFonts w:ascii="Arial" w:eastAsia="Arial" w:hAnsi="Arial" w:cs="Arial"/>
          <w:u w:val="single"/>
        </w:rPr>
        <w:t xml:space="preserve">The commission, through its own counsel or through the Attorney General, may apply to the Superior Court of any county of the State to enforce any lawful order made or action taken by the commission pursuant to subsection 5, paragraphs A </w:t>
      </w:r>
      <w:r>
        <w:rPr>
          <w:rFonts w:ascii="Arial" w:eastAsia="Arial" w:hAnsi="Arial" w:cs="Arial"/>
          <w:u w:val="single"/>
        </w:rPr>
        <w:t>to</w:t>
      </w:r>
      <w:r>
        <w:rPr>
          <w:rFonts w:ascii="Arial" w:eastAsia="Arial" w:hAnsi="Arial" w:cs="Arial"/>
          <w:u w:val="single"/>
        </w:rPr>
        <w:t xml:space="preserve"> E, and the court may issue any preliminary or final order that the court determines proper. </w:t>
      </w:r>
      <w:r>
        <w:rPr>
          <w:rFonts w:ascii="Arial" w:eastAsia="Arial" w:hAnsi="Arial" w:cs="Arial"/>
          <w:u w:val="single"/>
        </w:rPr>
        <w:t xml:space="preserve"> </w:t>
      </w:r>
      <w:r>
        <w:rPr>
          <w:rFonts w:ascii="Arial" w:eastAsia="Arial" w:hAnsi="Arial" w:cs="Arial"/>
          <w:u w:val="single"/>
        </w:rPr>
        <w:t>The commission may impose administrative penalties under chapter 15 upon a project sponsor and may order restitution for any party injured by a violation for which a penalty may be assessed pursuant to chapter 15.</w:t>
      </w:r>
      <w:r>
        <w:rPr>
          <w:rFonts w:ascii="Arial" w:eastAsia="Arial" w:hAnsi="Arial" w:cs="Arial"/>
          <w:u w:val="single"/>
        </w:rPr>
        <w:t xml:space="preserve"> </w:t>
      </w:r>
      <w:r>
        <w:rPr>
          <w:rFonts w:ascii="Arial" w:eastAsia="Arial" w:hAnsi="Arial" w:cs="Arial"/>
          <w:u w:val="single"/>
        </w:rPr>
        <w:t xml:space="preserve"> If the commission has reason to believe a project sponsor has violated subsection 5, paragraphs F </w:t>
      </w:r>
      <w:r>
        <w:rPr>
          <w:rFonts w:ascii="Arial" w:eastAsia="Arial" w:hAnsi="Arial" w:cs="Arial"/>
          <w:u w:val="single"/>
        </w:rPr>
        <w:t>to</w:t>
      </w:r>
      <w:r>
        <w:rPr>
          <w:rFonts w:ascii="Arial" w:eastAsia="Arial" w:hAnsi="Arial" w:cs="Arial"/>
          <w:u w:val="single"/>
        </w:rPr>
        <w:t xml:space="preserve"> I</w:t>
      </w:r>
      <w:r>
        <w:rPr>
          <w:rFonts w:ascii="Arial" w:eastAsia="Arial" w:hAnsi="Arial" w:cs="Arial"/>
          <w:u w:val="single"/>
        </w:rPr>
        <w:t>,</w:t>
      </w:r>
      <w:r>
        <w:rPr>
          <w:rFonts w:ascii="Arial" w:eastAsia="Arial" w:hAnsi="Arial" w:cs="Arial"/>
          <w:u w:val="single"/>
        </w:rPr>
        <w:t xml:space="preserve"> the commission shall report this information to the Attorney General for appropriate action.</w:t>
      </w:r>
      <w:r>
        <w:rPr>
          <w:rFonts w:ascii="Arial" w:eastAsia="Arial" w:hAnsi="Arial" w:cs="Arial"/>
          <w:u w:val="single"/>
        </w:rPr>
        <w:t xml:space="preserve"> </w:t>
      </w:r>
      <w:r>
        <w:rPr>
          <w:rFonts w:ascii="Arial" w:eastAsia="Arial" w:hAnsi="Arial" w:cs="Arial"/>
          <w:u w:val="single"/>
        </w:rPr>
        <w:t xml:space="preserve"> A violation of subsection 5 is a violation of the Maine Unfair Trade Practices Act.</w:t>
      </w:r>
      <w:bookmarkEnd w:id="67"/>
    </w:p>
    <w:p w:rsidR="00DE62FA" w:rsidP="00DE62FA">
      <w:pPr>
        <w:ind w:left="360" w:firstLine="360"/>
        <w:rPr>
          <w:rFonts w:ascii="Arial" w:eastAsia="Arial" w:hAnsi="Arial" w:cs="Arial"/>
        </w:rPr>
      </w:pPr>
      <w:bookmarkStart w:id="76" w:name="_BILL_SECTION_UNALLOCATED__964e8166_9358"/>
      <w:bookmarkStart w:id="77" w:name="_INSTRUCTION__9677bd48_d9c0_483c_81f7_29"/>
      <w:bookmarkEnd w:id="63"/>
      <w:bookmarkEnd w:id="64"/>
      <w:bookmarkEnd w:id="68"/>
      <w:bookmarkEnd w:id="69"/>
      <w:bookmarkEnd w:id="70"/>
      <w:bookmarkEnd w:id="71"/>
      <w:bookmarkEnd w:id="72"/>
      <w:bookmarkEnd w:id="73"/>
      <w:bookmarkEnd w:id="75"/>
      <w:r>
        <w:rPr>
          <w:rFonts w:ascii="Arial" w:eastAsia="Arial" w:hAnsi="Arial" w:cs="Arial"/>
          <w:b/>
          <w:sz w:val="24"/>
        </w:rPr>
        <w:t xml:space="preserve">Sec. </w:t>
      </w:r>
      <w:bookmarkStart w:id="78" w:name="_BILL_SECTION_NUMBER__da99ebbb_9bc6_4fa6"/>
      <w:r>
        <w:rPr>
          <w:rFonts w:ascii="Arial" w:eastAsia="Arial" w:hAnsi="Arial" w:cs="Arial"/>
          <w:b/>
          <w:sz w:val="24"/>
        </w:rPr>
        <w:t>4</w:t>
      </w:r>
      <w:bookmarkEnd w:id="78"/>
      <w:r>
        <w:rPr>
          <w:rFonts w:ascii="Arial" w:eastAsia="Arial" w:hAnsi="Arial" w:cs="Arial"/>
          <w:b/>
          <w:sz w:val="24"/>
        </w:rPr>
        <w:t xml:space="preserve">.  </w:t>
      </w:r>
      <w:r w:rsidRPr="00953A06">
        <w:rPr>
          <w:rFonts w:ascii="Arial" w:eastAsia="Arial" w:hAnsi="Arial" w:cs="Arial"/>
          <w:b/>
          <w:sz w:val="24"/>
        </w:rPr>
        <w:t>Net energy billing; consumer protection rules.</w:t>
      </w:r>
      <w:r>
        <w:rPr>
          <w:rFonts w:ascii="Arial" w:eastAsia="Arial" w:hAnsi="Arial" w:cs="Arial"/>
        </w:rPr>
        <w:t xml:space="preserve">  </w:t>
      </w:r>
      <w:r w:rsidRPr="005067B8">
        <w:rPr>
          <w:rFonts w:ascii="Arial" w:eastAsia="Arial" w:hAnsi="Arial" w:cs="Arial"/>
        </w:rPr>
        <w:t>Notwithstanding the Maine Revised Statutes, Title 35-A, section 3209-A, rules initially adopted by the Public Utilities Commission to implement this Act are routine technical rules as defined in Title 5, chapter 375, subchapter 2-A.  Amendments or changes to those rules after that initial adoption are major substantive rules in accordance with Title 35-A, section 3209-A.</w:t>
      </w:r>
    </w:p>
    <w:p w:rsidR="00DE62FA" w:rsidP="00DE62FA">
      <w:pPr>
        <w:ind w:left="360" w:firstLine="360"/>
        <w:rPr>
          <w:rFonts w:ascii="Arial" w:eastAsia="Arial" w:hAnsi="Arial" w:cs="Arial"/>
        </w:rPr>
      </w:pPr>
      <w:bookmarkStart w:id="79" w:name="_APPROP_SECTION__aa058ebe_a869_48bb_8702"/>
      <w:bookmarkStart w:id="80" w:name="_INSTRUCTION__73b31978_0598_41f9_81b3_c9"/>
      <w:bookmarkEnd w:id="76"/>
      <w:bookmarkEnd w:id="77"/>
      <w:r>
        <w:rPr>
          <w:rFonts w:ascii="Arial" w:eastAsia="Arial" w:hAnsi="Arial" w:cs="Arial"/>
          <w:b/>
          <w:sz w:val="24"/>
        </w:rPr>
        <w:t xml:space="preserve">Sec. </w:t>
      </w:r>
      <w:bookmarkStart w:id="81" w:name="_BILL_SECTION_NUMBER__59efdc0a_5019_451a"/>
      <w:r>
        <w:rPr>
          <w:rFonts w:ascii="Arial" w:eastAsia="Arial" w:hAnsi="Arial" w:cs="Arial"/>
          <w:b/>
          <w:sz w:val="24"/>
        </w:rPr>
        <w:t>5</w:t>
      </w:r>
      <w:bookmarkEnd w:id="81"/>
      <w:r>
        <w:rPr>
          <w:rFonts w:ascii="Arial" w:eastAsia="Arial" w:hAnsi="Arial" w:cs="Arial"/>
          <w:b/>
          <w:sz w:val="24"/>
        </w:rPr>
        <w:t>.  Appropriations and allocations.</w:t>
      </w:r>
      <w:r>
        <w:rPr>
          <w:rFonts w:ascii="Arial" w:eastAsia="Arial" w:hAnsi="Arial" w:cs="Arial"/>
        </w:rPr>
        <w:t>  The following appropriations and allocations are made.</w:t>
      </w:r>
    </w:p>
    <w:p w:rsidR="00DE62FA" w:rsidP="00DE62FA">
      <w:pPr>
        <w:pStyle w:val="BPSParagraphLeftAlign"/>
        <w:suppressAutoHyphens/>
        <w:ind w:left="360"/>
        <w:rPr>
          <w:rFonts w:ascii="Arial" w:eastAsia="Arial" w:hAnsi="Arial" w:cs="Arial"/>
        </w:rPr>
      </w:pPr>
      <w:r>
        <w:rPr>
          <w:rFonts w:ascii="Arial" w:eastAsia="Arial" w:hAnsi="Arial" w:cs="Arial"/>
          <w:b/>
        </w:rPr>
        <w:t>PUBLIC UTILITIES COMMISSION</w:t>
      </w:r>
    </w:p>
    <w:p w:rsidR="00DE62FA" w:rsidP="00DE62FA">
      <w:pPr>
        <w:pStyle w:val="BPSParagraphLeftAlign"/>
        <w:suppressAutoHyphens/>
        <w:ind w:left="360"/>
        <w:rPr>
          <w:rFonts w:ascii="Arial" w:eastAsia="Arial" w:hAnsi="Arial" w:cs="Arial"/>
        </w:rPr>
      </w:pPr>
      <w:r>
        <w:rPr>
          <w:rFonts w:ascii="Arial" w:eastAsia="Arial" w:hAnsi="Arial" w:cs="Arial"/>
          <w:b/>
        </w:rPr>
        <w:t>Public Utilities - Administrative Division 0184</w:t>
      </w:r>
    </w:p>
    <w:p w:rsidR="00DE62FA" w:rsidP="00DE62FA">
      <w:pPr>
        <w:ind w:left="360"/>
        <w:rPr>
          <w:rFonts w:ascii="Arial" w:eastAsia="Arial" w:hAnsi="Arial" w:cs="Arial"/>
        </w:rPr>
      </w:pPr>
      <w:r>
        <w:rPr>
          <w:rFonts w:ascii="Arial" w:eastAsia="Arial" w:hAnsi="Arial" w:cs="Arial"/>
        </w:rPr>
        <w:t>Initiative: Provides allocations for one Staff Attorney position and 2 Senior Consumer Assistance Specialist positions and associated All Other costs.</w:t>
      </w:r>
    </w:p>
    <w:tbl>
      <w:tblPr>
        <w:tblStyle w:val="BPSTable"/>
        <w:tblW w:w="0" w:type="auto"/>
        <w:tblInd w:w="360" w:type="dxa"/>
        <w:tblCellMar>
          <w:left w:w="0" w:type="dxa"/>
          <w:right w:w="0" w:type="dxa"/>
        </w:tblCellMar>
        <w:tblLook w:val="04A0"/>
      </w:tblPr>
      <w:tblGrid>
        <w:gridCol w:w="5009"/>
        <w:gridCol w:w="1463"/>
        <w:gridCol w:w="1463"/>
      </w:tblGrid>
      <w:tr w:rsidTr="00676B57">
        <w:tblPrEx>
          <w:tblW w:w="0" w:type="auto"/>
          <w:tblInd w:w="360" w:type="dxa"/>
          <w:tblCellMar>
            <w:left w:w="0" w:type="dxa"/>
            <w:right w:w="0" w:type="dxa"/>
          </w:tblCellMar>
          <w:tblLook w:val="04A0"/>
        </w:tblPrEx>
        <w:tc>
          <w:tcPr>
            <w:tcW w:w="5069" w:type="dxa"/>
          </w:tcPr>
          <w:p w:rsidR="00DE62FA" w:rsidP="00676B57">
            <w:pPr>
              <w:rPr>
                <w:rFonts w:ascii="Arial" w:eastAsia="Arial" w:hAnsi="Arial" w:cs="Arial"/>
              </w:rPr>
            </w:pPr>
            <w:r>
              <w:rPr>
                <w:rFonts w:ascii="Arial" w:eastAsia="Arial" w:hAnsi="Arial" w:cs="Arial"/>
                <w:b/>
              </w:rPr>
              <w:t>OTHER SPECIAL REVENUE FUNDS</w:t>
            </w:r>
          </w:p>
        </w:tc>
        <w:tc>
          <w:tcPr>
            <w:tcW w:w="1469" w:type="dxa"/>
          </w:tcPr>
          <w:p w:rsidR="00DE62FA" w:rsidP="00676B57">
            <w:pPr>
              <w:jc w:val="right"/>
              <w:rPr>
                <w:rFonts w:ascii="Arial" w:eastAsia="Arial" w:hAnsi="Arial" w:cs="Arial"/>
              </w:rPr>
            </w:pPr>
            <w:r>
              <w:rPr>
                <w:rFonts w:ascii="Arial" w:eastAsia="Arial" w:hAnsi="Arial" w:cs="Arial"/>
                <w:b/>
              </w:rPr>
              <w:t>2021-22</w:t>
            </w:r>
          </w:p>
        </w:tc>
        <w:tc>
          <w:tcPr>
            <w:tcW w:w="1469" w:type="dxa"/>
          </w:tcPr>
          <w:p w:rsidR="00DE62FA" w:rsidP="00676B57">
            <w:pPr>
              <w:jc w:val="right"/>
              <w:rPr>
                <w:rFonts w:ascii="Arial" w:eastAsia="Arial" w:hAnsi="Arial" w:cs="Arial"/>
              </w:rPr>
            </w:pPr>
            <w:r>
              <w:rPr>
                <w:rFonts w:ascii="Arial" w:eastAsia="Arial" w:hAnsi="Arial" w:cs="Arial"/>
                <w:b/>
              </w:rPr>
              <w:t>2022-23</w:t>
            </w:r>
          </w:p>
        </w:tc>
      </w:tr>
      <w:tr w:rsidTr="00676B57">
        <w:tblPrEx>
          <w:tblW w:w="0" w:type="auto"/>
          <w:tblInd w:w="360" w:type="dxa"/>
          <w:tblCellMar>
            <w:left w:w="0" w:type="dxa"/>
            <w:right w:w="0" w:type="dxa"/>
          </w:tblCellMar>
          <w:tblLook w:val="04A0"/>
        </w:tblPrEx>
        <w:tc>
          <w:tcPr>
            <w:tcW w:w="5069" w:type="dxa"/>
          </w:tcPr>
          <w:p w:rsidR="00DE62FA" w:rsidP="00676B57">
            <w:pPr>
              <w:ind w:left="180"/>
              <w:rPr>
                <w:rFonts w:ascii="Arial" w:eastAsia="Arial" w:hAnsi="Arial" w:cs="Arial"/>
              </w:rPr>
            </w:pPr>
            <w:r>
              <w:rPr>
                <w:rFonts w:ascii="Arial" w:eastAsia="Arial" w:hAnsi="Arial" w:cs="Arial"/>
              </w:rPr>
              <w:t>POSITIONS - LEGISLATIVE COUNT</w:t>
            </w:r>
          </w:p>
        </w:tc>
        <w:tc>
          <w:tcPr>
            <w:tcW w:w="1469" w:type="dxa"/>
          </w:tcPr>
          <w:p w:rsidR="00DE62FA" w:rsidP="00676B57">
            <w:pPr>
              <w:jc w:val="right"/>
              <w:rPr>
                <w:rFonts w:ascii="Arial" w:eastAsia="Arial" w:hAnsi="Arial" w:cs="Arial"/>
              </w:rPr>
            </w:pPr>
            <w:r>
              <w:rPr>
                <w:rFonts w:ascii="Arial" w:eastAsia="Arial" w:hAnsi="Arial" w:cs="Arial"/>
              </w:rPr>
              <w:t>3.000</w:t>
            </w:r>
          </w:p>
        </w:tc>
        <w:tc>
          <w:tcPr>
            <w:tcW w:w="1469" w:type="dxa"/>
          </w:tcPr>
          <w:p w:rsidR="00DE62FA" w:rsidP="00676B57">
            <w:pPr>
              <w:jc w:val="right"/>
              <w:rPr>
                <w:rFonts w:ascii="Arial" w:eastAsia="Arial" w:hAnsi="Arial" w:cs="Arial"/>
              </w:rPr>
            </w:pPr>
            <w:r>
              <w:rPr>
                <w:rFonts w:ascii="Arial" w:eastAsia="Arial" w:hAnsi="Arial" w:cs="Arial"/>
              </w:rPr>
              <w:t>3.000</w:t>
            </w:r>
          </w:p>
        </w:tc>
      </w:tr>
      <w:tr w:rsidTr="00676B57">
        <w:tblPrEx>
          <w:tblW w:w="0" w:type="auto"/>
          <w:tblInd w:w="360" w:type="dxa"/>
          <w:tblCellMar>
            <w:left w:w="0" w:type="dxa"/>
            <w:right w:w="0" w:type="dxa"/>
          </w:tblCellMar>
          <w:tblLook w:val="04A0"/>
        </w:tblPrEx>
        <w:tc>
          <w:tcPr>
            <w:tcW w:w="5069" w:type="dxa"/>
          </w:tcPr>
          <w:p w:rsidR="00DE62FA" w:rsidP="00676B57">
            <w:pPr>
              <w:ind w:left="180"/>
              <w:rPr>
                <w:rFonts w:ascii="Arial" w:eastAsia="Arial" w:hAnsi="Arial" w:cs="Arial"/>
              </w:rPr>
            </w:pPr>
            <w:r>
              <w:rPr>
                <w:rFonts w:ascii="Arial" w:eastAsia="Arial" w:hAnsi="Arial" w:cs="Arial"/>
              </w:rPr>
              <w:t>Personal Services</w:t>
            </w:r>
          </w:p>
        </w:tc>
        <w:tc>
          <w:tcPr>
            <w:tcW w:w="1469" w:type="dxa"/>
          </w:tcPr>
          <w:p w:rsidR="00DE62FA" w:rsidP="00676B57">
            <w:pPr>
              <w:jc w:val="right"/>
              <w:rPr>
                <w:rFonts w:ascii="Arial" w:eastAsia="Arial" w:hAnsi="Arial" w:cs="Arial"/>
              </w:rPr>
            </w:pPr>
            <w:r>
              <w:rPr>
                <w:rFonts w:ascii="Arial" w:eastAsia="Arial" w:hAnsi="Arial" w:cs="Arial"/>
              </w:rPr>
              <w:t>$239,384</w:t>
            </w:r>
          </w:p>
        </w:tc>
        <w:tc>
          <w:tcPr>
            <w:tcW w:w="1469" w:type="dxa"/>
          </w:tcPr>
          <w:p w:rsidR="00DE62FA" w:rsidP="00676B57">
            <w:pPr>
              <w:jc w:val="right"/>
              <w:rPr>
                <w:rFonts w:ascii="Arial" w:eastAsia="Arial" w:hAnsi="Arial" w:cs="Arial"/>
              </w:rPr>
            </w:pPr>
            <w:r>
              <w:rPr>
                <w:rFonts w:ascii="Arial" w:eastAsia="Arial" w:hAnsi="Arial" w:cs="Arial"/>
              </w:rPr>
              <w:t>$332,704</w:t>
            </w:r>
          </w:p>
        </w:tc>
      </w:tr>
      <w:tr w:rsidTr="00676B57">
        <w:tblPrEx>
          <w:tblW w:w="0" w:type="auto"/>
          <w:tblInd w:w="360" w:type="dxa"/>
          <w:tblCellMar>
            <w:left w:w="0" w:type="dxa"/>
            <w:right w:w="0" w:type="dxa"/>
          </w:tblCellMar>
          <w:tblLook w:val="04A0"/>
        </w:tblPrEx>
        <w:tc>
          <w:tcPr>
            <w:tcW w:w="5069" w:type="dxa"/>
          </w:tcPr>
          <w:p w:rsidR="00DE62FA" w:rsidP="00676B57">
            <w:pPr>
              <w:ind w:left="180"/>
              <w:rPr>
                <w:rFonts w:ascii="Arial" w:eastAsia="Arial" w:hAnsi="Arial" w:cs="Arial"/>
              </w:rPr>
            </w:pPr>
            <w:r>
              <w:rPr>
                <w:rFonts w:ascii="Arial" w:eastAsia="Arial" w:hAnsi="Arial" w:cs="Arial"/>
              </w:rPr>
              <w:t>All Other</w:t>
            </w:r>
          </w:p>
        </w:tc>
        <w:tc>
          <w:tcPr>
            <w:tcW w:w="1469" w:type="dxa"/>
          </w:tcPr>
          <w:p w:rsidR="00DE62FA" w:rsidP="00676B57">
            <w:pPr>
              <w:jc w:val="right"/>
              <w:rPr>
                <w:rFonts w:ascii="Arial" w:eastAsia="Arial" w:hAnsi="Arial" w:cs="Arial"/>
              </w:rPr>
            </w:pPr>
            <w:r>
              <w:rPr>
                <w:rFonts w:ascii="Arial" w:eastAsia="Arial" w:hAnsi="Arial" w:cs="Arial"/>
              </w:rPr>
              <w:t>$24,339</w:t>
            </w:r>
          </w:p>
        </w:tc>
        <w:tc>
          <w:tcPr>
            <w:tcW w:w="1469" w:type="dxa"/>
          </w:tcPr>
          <w:p w:rsidR="00DE62FA" w:rsidP="00676B57">
            <w:pPr>
              <w:jc w:val="right"/>
              <w:rPr>
                <w:rFonts w:ascii="Arial" w:eastAsia="Arial" w:hAnsi="Arial" w:cs="Arial"/>
              </w:rPr>
            </w:pPr>
            <w:r>
              <w:rPr>
                <w:rFonts w:ascii="Arial" w:eastAsia="Arial" w:hAnsi="Arial" w:cs="Arial"/>
              </w:rPr>
              <w:t>$24,583</w:t>
            </w:r>
          </w:p>
        </w:tc>
      </w:tr>
      <w:tr w:rsidTr="00676B57">
        <w:tblPrEx>
          <w:tblW w:w="0" w:type="auto"/>
          <w:tblInd w:w="360" w:type="dxa"/>
          <w:tblCellMar>
            <w:left w:w="0" w:type="dxa"/>
            <w:right w:w="0" w:type="dxa"/>
          </w:tblCellMar>
          <w:tblLook w:val="04A0"/>
        </w:tblPrEx>
        <w:tc>
          <w:tcPr>
            <w:tcW w:w="5069" w:type="dxa"/>
          </w:tcPr>
          <w:p w:rsidR="00DE62FA" w:rsidP="00676B57">
            <w:pPr>
              <w:rPr>
                <w:rFonts w:ascii="Arial" w:eastAsia="Arial" w:hAnsi="Arial" w:cs="Arial"/>
              </w:rPr>
            </w:pPr>
            <w:r>
              <w:rPr>
                <w:rFonts w:ascii="Arial" w:eastAsia="Arial" w:hAnsi="Arial" w:cs="Arial"/>
              </w:rPr>
              <w:t xml:space="preserve"> </w:t>
            </w:r>
          </w:p>
        </w:tc>
        <w:tc>
          <w:tcPr>
            <w:tcW w:w="1469" w:type="dxa"/>
          </w:tcPr>
          <w:p w:rsidR="00DE62FA" w:rsidP="00676B57">
            <w:pPr>
              <w:jc w:val="right"/>
              <w:rPr>
                <w:rFonts w:ascii="Arial" w:eastAsia="Arial" w:hAnsi="Arial" w:cs="Arial"/>
              </w:rPr>
            </w:pPr>
            <w:r>
              <w:rPr>
                <w:rFonts w:ascii="Arial" w:eastAsia="Arial" w:hAnsi="Arial" w:cs="Arial"/>
              </w:rPr>
              <w:t>__________</w:t>
            </w:r>
          </w:p>
        </w:tc>
        <w:tc>
          <w:tcPr>
            <w:tcW w:w="1469" w:type="dxa"/>
          </w:tcPr>
          <w:p w:rsidR="00DE62FA" w:rsidP="00676B57">
            <w:pPr>
              <w:jc w:val="right"/>
              <w:rPr>
                <w:rFonts w:ascii="Arial" w:eastAsia="Arial" w:hAnsi="Arial" w:cs="Arial"/>
              </w:rPr>
            </w:pPr>
            <w:r>
              <w:rPr>
                <w:rFonts w:ascii="Arial" w:eastAsia="Arial" w:hAnsi="Arial" w:cs="Arial"/>
              </w:rPr>
              <w:t>__________</w:t>
            </w:r>
          </w:p>
        </w:tc>
      </w:tr>
      <w:tr w:rsidTr="00676B57">
        <w:tblPrEx>
          <w:tblW w:w="0" w:type="auto"/>
          <w:tblInd w:w="360" w:type="dxa"/>
          <w:tblCellMar>
            <w:left w:w="0" w:type="dxa"/>
            <w:right w:w="0" w:type="dxa"/>
          </w:tblCellMar>
          <w:tblLook w:val="04A0"/>
        </w:tblPrEx>
        <w:tc>
          <w:tcPr>
            <w:tcW w:w="5069" w:type="dxa"/>
          </w:tcPr>
          <w:p w:rsidR="00DE62FA" w:rsidP="00676B57">
            <w:pPr>
              <w:rPr>
                <w:rFonts w:ascii="Arial" w:eastAsia="Arial" w:hAnsi="Arial" w:cs="Arial"/>
              </w:rPr>
            </w:pPr>
            <w:r>
              <w:rPr>
                <w:rFonts w:ascii="Arial" w:eastAsia="Arial" w:hAnsi="Arial" w:cs="Arial"/>
              </w:rPr>
              <w:t>OTHER SPECIAL REVENUE FUNDS TOTAL</w:t>
            </w:r>
          </w:p>
        </w:tc>
        <w:tc>
          <w:tcPr>
            <w:tcW w:w="1469" w:type="dxa"/>
          </w:tcPr>
          <w:p w:rsidR="00DE62FA" w:rsidP="00676B57">
            <w:pPr>
              <w:jc w:val="right"/>
              <w:rPr>
                <w:rFonts w:ascii="Arial" w:eastAsia="Arial" w:hAnsi="Arial" w:cs="Arial"/>
              </w:rPr>
            </w:pPr>
            <w:r>
              <w:rPr>
                <w:rFonts w:ascii="Arial" w:eastAsia="Arial" w:hAnsi="Arial" w:cs="Arial"/>
              </w:rPr>
              <w:t>$263,723</w:t>
            </w:r>
          </w:p>
        </w:tc>
        <w:tc>
          <w:tcPr>
            <w:tcW w:w="1469" w:type="dxa"/>
          </w:tcPr>
          <w:p w:rsidR="00DE62FA" w:rsidP="00676B57">
            <w:pPr>
              <w:jc w:val="right"/>
              <w:rPr>
                <w:rFonts w:ascii="Arial" w:eastAsia="Arial" w:hAnsi="Arial" w:cs="Arial"/>
              </w:rPr>
            </w:pPr>
            <w:r>
              <w:rPr>
                <w:rFonts w:ascii="Arial" w:eastAsia="Arial" w:hAnsi="Arial" w:cs="Arial"/>
              </w:rPr>
              <w:t>$357,287</w:t>
            </w:r>
          </w:p>
        </w:tc>
      </w:tr>
      <w:bookmarkEnd w:id="2"/>
      <w:bookmarkEnd w:id="6"/>
      <w:bookmarkEnd w:id="79"/>
      <w:bookmarkEnd w:id="80"/>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LR0444,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Consumer Protections for Community Solar Projects</w:t>
    </w:r>
  </w:p>
  <w:p>
    <w:pPr>
      <w:suppressLineNumbers/>
      <w:spacing w:before="0" w:after="0"/>
      <w:jc w:val="center"/>
      <w:rPr>
        <w:rFonts w:ascii="Arial" w:eastAsia="Arial" w:hAnsi="Arial" w:cs="Arial"/>
      </w:rPr>
    </w:pPr>
    <w:r>
      <w:rPr>
        <w:rFonts w:ascii="Arial" w:eastAsia="Arial" w:hAnsi="Arial" w:cs="Arial"/>
        <w:sz w:val="22"/>
      </w:rPr>
      <w:t>L.D. 507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067B8"/>
    <w:rsid w:val="005500BF"/>
    <w:rsid w:val="005568B1"/>
    <w:rsid w:val="00564135"/>
    <w:rsid w:val="00574B75"/>
    <w:rsid w:val="00610E2A"/>
    <w:rsid w:val="00641982"/>
    <w:rsid w:val="006714D5"/>
    <w:rsid w:val="00676B57"/>
    <w:rsid w:val="00695EDF"/>
    <w:rsid w:val="006D40C3"/>
    <w:rsid w:val="007D72C8"/>
    <w:rsid w:val="007F3B1E"/>
    <w:rsid w:val="00801F19"/>
    <w:rsid w:val="00806421"/>
    <w:rsid w:val="008A5943"/>
    <w:rsid w:val="0092322A"/>
    <w:rsid w:val="009367EC"/>
    <w:rsid w:val="00953A06"/>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DE62F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