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Change the Compensation Structure of the Maine Labor Relations Board and the State Board of Arbitration and Conciliation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357 - L.D. 494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Change the Compensation Structure of the Maine Labor Relations Board and the State Board of Arbitration and Conciliation</w:t>
      </w:r>
    </w:p>
    <w:p w:rsidR="00D04879" w:rsidP="00D04879">
      <w:pPr>
        <w:ind w:left="360"/>
        <w:rPr>
          <w:rFonts w:ascii="Arial" w:eastAsia="Arial" w:hAnsi="Arial" w:cs="Arial"/>
        </w:rPr>
      </w:pPr>
      <w:bookmarkStart w:id="0" w:name="_ENACTING_CLAUSE__b2354883_bc00_4c87_8c2"/>
      <w:bookmarkStart w:id="1" w:name="_PAR__1_8372d1f7_631d_4e6b_a0bc_f0b26d5b"/>
      <w:bookmarkStart w:id="2" w:name="_DOC_BODY_CONTAINER__fc04c0d3_7e96_41c7_"/>
      <w:r>
        <w:rPr>
          <w:rFonts w:ascii="Arial" w:eastAsia="Arial" w:hAnsi="Arial" w:cs="Arial"/>
          <w:b/>
        </w:rPr>
        <w:t>Be it enacted by the People of the State of Maine as follows:</w:t>
      </w:r>
    </w:p>
    <w:p w:rsidR="00D04879" w:rsidP="00D04879">
      <w:pPr>
        <w:ind w:left="360" w:firstLine="360"/>
        <w:rPr>
          <w:rFonts w:ascii="Arial" w:eastAsia="Arial" w:hAnsi="Arial" w:cs="Arial"/>
        </w:rPr>
      </w:pPr>
      <w:bookmarkStart w:id="3" w:name="_BILL_SECTION_HEADER__6a4c24da_f555_4f28"/>
      <w:bookmarkStart w:id="4" w:name="_PAR__2_76629f72_043d_4eef_bc5e_79201f3d"/>
      <w:bookmarkStart w:id="5" w:name="_BILL_SECTION__c2ae97c1_ca44_4cbd_82d6_c"/>
      <w:bookmarkStart w:id="6" w:name="_DOC_BODY_CONTENT__76629dec_7aa6_4119_9c"/>
      <w:bookmarkEnd w:id="0"/>
      <w:bookmarkEnd w:id="1"/>
      <w:r>
        <w:rPr>
          <w:rFonts w:ascii="Arial" w:eastAsia="Arial" w:hAnsi="Arial" w:cs="Arial"/>
          <w:b/>
          <w:sz w:val="24"/>
        </w:rPr>
        <w:t xml:space="preserve">Sec. </w:t>
      </w:r>
      <w:bookmarkStart w:id="7" w:name="_BILL_SECTION_NUMBER__f96fbbdc_ecdc_4557"/>
      <w:r>
        <w:rPr>
          <w:rFonts w:ascii="Arial" w:eastAsia="Arial" w:hAnsi="Arial" w:cs="Arial"/>
          <w:b/>
          <w:sz w:val="24"/>
        </w:rPr>
        <w:t>1</w:t>
      </w:r>
      <w:bookmarkEnd w:id="7"/>
      <w:r>
        <w:rPr>
          <w:rFonts w:ascii="Arial" w:eastAsia="Arial" w:hAnsi="Arial" w:cs="Arial"/>
          <w:b/>
          <w:sz w:val="24"/>
        </w:rPr>
        <w:t>.  26 MRSA §931, first ¶,</w:t>
      </w:r>
      <w:r>
        <w:rPr>
          <w:rFonts w:ascii="Arial" w:eastAsia="Arial" w:hAnsi="Arial" w:cs="Arial"/>
        </w:rPr>
        <w:t xml:space="preserve"> as amended by PL 2007, c. 175, §1, is further amended to read:</w:t>
      </w:r>
    </w:p>
    <w:p w:rsidR="00D04879" w:rsidP="00D04879">
      <w:pPr>
        <w:ind w:left="360" w:firstLine="360"/>
        <w:rPr>
          <w:rFonts w:ascii="Arial" w:eastAsia="Arial" w:hAnsi="Arial" w:cs="Arial"/>
        </w:rPr>
      </w:pPr>
      <w:bookmarkStart w:id="8" w:name="_STATUTE_CONTENT__942ad740_f859_4c56_a0a"/>
      <w:bookmarkStart w:id="9" w:name="_STATUTE_P__f062f331_5892_477f_b6ff_2e9e"/>
      <w:bookmarkStart w:id="10" w:name="_PAR__3_9d3dd67e_7c60_4ddd_af81_308e255f"/>
      <w:bookmarkEnd w:id="3"/>
      <w:bookmarkEnd w:id="4"/>
      <w:r>
        <w:rPr>
          <w:rFonts w:ascii="Arial" w:eastAsia="Arial" w:hAnsi="Arial" w:cs="Arial"/>
        </w:rPr>
        <w:t>The State Board of Arbitration and Conciliation, in this subchapter called the "board," consists of 3 members appointed by the Governor from time to time upon the expiration of the terms of the several members</w:t>
      </w:r>
      <w:r>
        <w:rPr>
          <w:rFonts w:ascii="Arial" w:eastAsia="Arial" w:hAnsi="Arial" w:cs="Arial"/>
          <w:strike/>
        </w:rPr>
        <w:t>,</w:t>
      </w:r>
      <w:r>
        <w:rPr>
          <w:rFonts w:ascii="Arial" w:eastAsia="Arial" w:hAnsi="Arial" w:cs="Arial"/>
        </w:rPr>
        <w:t xml:space="preserve"> for terms of 3 years.  One member must be an employer of labor or selected from </w:t>
      </w:r>
      <w:r>
        <w:rPr>
          <w:rFonts w:ascii="Arial" w:eastAsia="Arial" w:hAnsi="Arial" w:cs="Arial"/>
          <w:strike/>
        </w:rPr>
        <w:t>some</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association representing employers of labor, and another must be an employee or selected from </w:t>
      </w:r>
      <w:r>
        <w:rPr>
          <w:rFonts w:ascii="Arial" w:eastAsia="Arial" w:hAnsi="Arial" w:cs="Arial"/>
          <w:strike/>
        </w:rPr>
        <w:t>some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bona fide trade or labor union.  The 3rd member must represent the public interests of the State and serves as chair. Vacancies occurring during a term must be filled for the unexpired term.  </w:t>
      </w:r>
      <w:r>
        <w:rPr>
          <w:rFonts w:ascii="Arial" w:eastAsia="Arial" w:hAnsi="Arial" w:cs="Arial"/>
          <w:strike/>
        </w:rPr>
        <w:t>Members</w:t>
      </w:r>
      <w:r>
        <w:rPr>
          <w:rFonts w:ascii="Arial" w:eastAsia="Arial" w:hAnsi="Arial" w:cs="Arial"/>
        </w:rPr>
        <w:t xml:space="preserve"> </w:t>
      </w:r>
      <w:r>
        <w:rPr>
          <w:rFonts w:ascii="Arial" w:eastAsia="Arial" w:hAnsi="Arial" w:cs="Arial"/>
          <w:u w:val="single"/>
        </w:rPr>
        <w:t>When meeting to deliberate or vote with respect to a matter before the board, members</w:t>
      </w:r>
      <w:r w:rsidRPr="00BF20E4">
        <w:rPr>
          <w:rFonts w:ascii="Arial" w:eastAsia="Arial" w:hAnsi="Arial" w:cs="Arial"/>
        </w:rPr>
        <w:t xml:space="preserve"> </w:t>
      </w:r>
      <w:r>
        <w:rPr>
          <w:rFonts w:ascii="Arial" w:eastAsia="Arial" w:hAnsi="Arial" w:cs="Arial"/>
        </w:rPr>
        <w:t xml:space="preserve">of the board are entitled to receive $150 a day </w:t>
      </w:r>
      <w:r>
        <w:rPr>
          <w:rFonts w:ascii="Arial" w:eastAsia="Arial" w:hAnsi="Arial" w:cs="Arial"/>
          <w:u w:val="single"/>
        </w:rPr>
        <w:t>per meeting</w:t>
      </w:r>
      <w:r>
        <w:rPr>
          <w:rFonts w:ascii="Arial" w:eastAsia="Arial" w:hAnsi="Arial" w:cs="Arial"/>
        </w:rPr>
        <w:t xml:space="preserve"> for their services for the time actually employed in the discharge of their official duties.  </w:t>
      </w:r>
      <w:r>
        <w:rPr>
          <w:rFonts w:ascii="Arial" w:eastAsia="Arial" w:hAnsi="Arial" w:cs="Arial"/>
          <w:u w:val="single"/>
        </w:rPr>
        <w:t>For all other purposes, members of the board are entitled to receive $300 a day for their services for the time actually employed in the discharge of their official duties.</w:t>
      </w:r>
      <w:r>
        <w:rPr>
          <w:rFonts w:ascii="Arial" w:eastAsia="Arial" w:hAnsi="Arial" w:cs="Arial"/>
        </w:rPr>
        <w:t xml:space="preserve">  They are entitled to receive their traveling and all other necessary expenses. The costs for services rendered and expenses incurred by the State Board of Arbitration and Conciliation and any state allocation program charges must be shared equally by the parties to the proceedings and must be paid into a special fund administered by the Maine Labor Relations Board.  Authorization for services rendered and expenditures incurred by the State Board of Arbitration and Conciliation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w:t>
      </w:r>
      <w:r>
        <w:rPr>
          <w:rFonts w:ascii="Arial" w:eastAsia="Arial" w:hAnsi="Arial" w:cs="Arial"/>
          <w:strike/>
        </w:rPr>
        <w:t>provision</w:t>
      </w:r>
      <w:r>
        <w:rPr>
          <w:rFonts w:ascii="Arial" w:eastAsia="Arial" w:hAnsi="Arial" w:cs="Arial"/>
        </w:rPr>
        <w:t xml:space="preserve"> </w:t>
      </w:r>
      <w:r>
        <w:rPr>
          <w:rFonts w:ascii="Arial" w:eastAsia="Arial" w:hAnsi="Arial" w:cs="Arial"/>
          <w:u w:val="single"/>
        </w:rPr>
        <w:t>section</w:t>
      </w:r>
      <w:r>
        <w:rPr>
          <w:rFonts w:ascii="Arial" w:eastAsia="Arial" w:hAnsi="Arial" w:cs="Arial"/>
        </w:rPr>
        <w:t xml:space="preserve"> remains in the special fund administered by the Maine Labor Relations Board and that fund does not lapse.  The executive director is authorized to collect any sums due and payable pursuant to this </w:t>
      </w:r>
      <w:r>
        <w:rPr>
          <w:rFonts w:ascii="Arial" w:eastAsia="Arial" w:hAnsi="Arial" w:cs="Arial"/>
          <w:strike/>
        </w:rPr>
        <w:t>provision</w:t>
      </w:r>
      <w:r>
        <w:rPr>
          <w:rFonts w:ascii="Arial" w:eastAsia="Arial" w:hAnsi="Arial" w:cs="Arial"/>
        </w:rPr>
        <w:t xml:space="preserve"> </w:t>
      </w:r>
      <w:r>
        <w:rPr>
          <w:rFonts w:ascii="Arial" w:eastAsia="Arial" w:hAnsi="Arial" w:cs="Arial"/>
          <w:u w:val="single"/>
        </w:rPr>
        <w:t>section</w:t>
      </w:r>
      <w:r>
        <w:rPr>
          <w:rFonts w:ascii="Arial" w:eastAsia="Arial" w:hAnsi="Arial" w:cs="Arial"/>
        </w:rPr>
        <w:t xml:space="preserve"> through civil action.  In such an action, the court shall allow litigation costs, including court costs and reasonable attorney's fees, to be deposited in the General Fund if the executive director is the prevailing party in the action.  The executive director shall, annually, on or before July 1st, make a report of the activities of the State Board of Arbitration and Conciliation to the Governor.  The board shall from time to time adopt rules of procedure as it determines necessary</w:t>
      </w:r>
      <w:r>
        <w:rPr>
          <w:rFonts w:ascii="Arial" w:eastAsia="Arial" w:hAnsi="Arial" w:cs="Arial"/>
          <w:strike/>
        </w:rPr>
        <w:t xml:space="preserve">, including rules of procedure for proceedings under </w:t>
      </w:r>
      <w:bookmarkStart w:id="11" w:name="_CROSS_REFERENCE__767b0396_7ed6_4c6f_9db"/>
      <w:r>
        <w:rPr>
          <w:rFonts w:ascii="Arial" w:eastAsia="Arial" w:hAnsi="Arial" w:cs="Arial"/>
          <w:strike/>
        </w:rPr>
        <w:t>chapter 18</w:t>
      </w:r>
      <w:bookmarkEnd w:id="11"/>
      <w:r>
        <w:rPr>
          <w:rFonts w:ascii="Arial" w:eastAsia="Arial" w:hAnsi="Arial" w:cs="Arial"/>
        </w:rPr>
        <w:t xml:space="preserve">.  Rules adopted pursuant to this section are routine technical rules as defined in </w:t>
      </w:r>
      <w:bookmarkStart w:id="12" w:name="_CROSS_REFERENCE__3f3a3fac_f16b_49d0_bb2"/>
      <w:r>
        <w:rPr>
          <w:rFonts w:ascii="Arial" w:eastAsia="Arial" w:hAnsi="Arial" w:cs="Arial"/>
        </w:rPr>
        <w:t>Title 5, chapter 375, subchapter 2‑A</w:t>
      </w:r>
      <w:bookmarkEnd w:id="12"/>
      <w:r>
        <w:rPr>
          <w:rFonts w:ascii="Arial" w:eastAsia="Arial" w:hAnsi="Arial" w:cs="Arial"/>
        </w:rPr>
        <w:t>.</w:t>
      </w:r>
      <w:bookmarkEnd w:id="8"/>
    </w:p>
    <w:p w:rsidR="00D04879" w:rsidP="00D04879">
      <w:pPr>
        <w:ind w:left="360" w:firstLine="360"/>
        <w:rPr>
          <w:rFonts w:ascii="Arial" w:eastAsia="Arial" w:hAnsi="Arial" w:cs="Arial"/>
        </w:rPr>
      </w:pPr>
      <w:bookmarkStart w:id="13" w:name="_BILL_SECTION_HEADER__5cb828ec_4943_40d6"/>
      <w:bookmarkStart w:id="14" w:name="_PAR__4_7d49f3b9_11b0_4a62_a3d2_b88dce03"/>
      <w:bookmarkStart w:id="15" w:name="_BILL_SECTION__8a44e3e1_6d4e_4dc5_8e9c_0"/>
      <w:bookmarkEnd w:id="5"/>
      <w:bookmarkEnd w:id="9"/>
      <w:bookmarkEnd w:id="10"/>
      <w:r>
        <w:rPr>
          <w:rFonts w:ascii="Arial" w:eastAsia="Arial" w:hAnsi="Arial" w:cs="Arial"/>
          <w:b/>
          <w:sz w:val="24"/>
        </w:rPr>
        <w:t xml:space="preserve">Sec. </w:t>
      </w:r>
      <w:bookmarkStart w:id="16" w:name="_BILL_SECTION_NUMBER__936b4dfa_1e90_495d"/>
      <w:r>
        <w:rPr>
          <w:rFonts w:ascii="Arial" w:eastAsia="Arial" w:hAnsi="Arial" w:cs="Arial"/>
          <w:b/>
          <w:sz w:val="24"/>
        </w:rPr>
        <w:t>2</w:t>
      </w:r>
      <w:bookmarkEnd w:id="16"/>
      <w:r>
        <w:rPr>
          <w:rFonts w:ascii="Arial" w:eastAsia="Arial" w:hAnsi="Arial" w:cs="Arial"/>
          <w:b/>
          <w:sz w:val="24"/>
        </w:rPr>
        <w:t>.  26 MRSA §968, sub-§1,</w:t>
      </w:r>
      <w:r>
        <w:rPr>
          <w:rFonts w:ascii="Arial" w:eastAsia="Arial" w:hAnsi="Arial" w:cs="Arial"/>
        </w:rPr>
        <w:t xml:space="preserve"> as amended by PL 2019, c. 184, §1, is further amended to read:</w:t>
      </w:r>
    </w:p>
    <w:p w:rsidR="00000000" w:rsidP="00D04879">
      <w:pPr>
        <w:ind w:left="360" w:firstLine="360"/>
        <w:rPr>
          <w:rFonts w:ascii="Arial" w:eastAsia="Arial" w:hAnsi="Arial" w:cs="Arial"/>
        </w:rPr>
      </w:pPr>
      <w:bookmarkStart w:id="17" w:name="_STATUTE_NUMBER__bb015fca_c255_4e19_a4bf"/>
      <w:bookmarkStart w:id="18" w:name="_PAR__5_25cee469_1995_4f96_8e65_d3222da5"/>
      <w:bookmarkStart w:id="19" w:name="_STATUTE_SS__fd7675a0_4502_4daf_9225_8c3"/>
      <w:bookmarkEnd w:id="13"/>
      <w:bookmarkEnd w:id="14"/>
      <w:r>
        <w:rPr>
          <w:rFonts w:ascii="Arial" w:eastAsia="Arial" w:hAnsi="Arial" w:cs="Arial"/>
          <w:b/>
        </w:rPr>
        <w:t>1</w:t>
      </w:r>
      <w:bookmarkEnd w:id="17"/>
      <w:r>
        <w:rPr>
          <w:rFonts w:ascii="Arial" w:eastAsia="Arial" w:hAnsi="Arial" w:cs="Arial"/>
          <w:b/>
        </w:rPr>
        <w:t xml:space="preserve">.  </w:t>
      </w:r>
      <w:bookmarkStart w:id="20" w:name="_STATUTE_HEADNOTE__61b854f9_c9c2_48c5_99"/>
      <w:r>
        <w:rPr>
          <w:rFonts w:ascii="Arial" w:eastAsia="Arial" w:hAnsi="Arial" w:cs="Arial"/>
          <w:b/>
        </w:rPr>
        <w:t>Maine Labor Relations Board.</w:t>
      </w:r>
      <w:bookmarkEnd w:id="20"/>
      <w:r>
        <w:rPr>
          <w:rFonts w:ascii="Arial" w:eastAsia="Arial" w:hAnsi="Arial" w:cs="Arial"/>
          <w:b/>
        </w:rPr>
        <w:t xml:space="preserve"> </w:t>
      </w:r>
      <w:r>
        <w:rPr>
          <w:rFonts w:ascii="Arial" w:eastAsia="Arial" w:hAnsi="Arial" w:cs="Arial"/>
        </w:rPr>
        <w:t xml:space="preserve"> </w:t>
      </w:r>
      <w:bookmarkStart w:id="21" w:name="_STATUTE_CONTENT__d113e5d9_1b02_4567_aff"/>
      <w:r>
        <w:rPr>
          <w:rFonts w:ascii="Arial" w:eastAsia="Arial" w:hAnsi="Arial" w:cs="Arial"/>
        </w:rPr>
        <w:t xml:space="preserve">The Maine Labor Relations Board, established by </w:t>
      </w:r>
      <w:bookmarkStart w:id="22" w:name="_CROSS_REFERENCE__b0dfbe24_1d92_4e15_940"/>
      <w:r>
        <w:rPr>
          <w:rFonts w:ascii="Arial" w:eastAsia="Arial" w:hAnsi="Arial" w:cs="Arial"/>
        </w:rPr>
        <w:t>Title 5, section 12004‑B, subsection 2</w:t>
      </w:r>
      <w:bookmarkEnd w:id="22"/>
      <w:r>
        <w:rPr>
          <w:rFonts w:ascii="Arial" w:eastAsia="Arial" w:hAnsi="Arial" w:cs="Arial"/>
        </w:rPr>
        <w:t xml:space="preserve">, consists of 3 members and 6 alternates appointed by the Governor, subject to review by the joint standing committee of the Legislature </w:t>
      </w:r>
      <w:bookmarkStart w:id="23" w:name="_PAR__1_524c37b2_e5a8_4292_87e3_f1897e6d"/>
      <w:bookmarkEnd w:id="18"/>
      <w:r>
        <w:rPr>
          <w:rFonts w:ascii="Arial" w:eastAsia="Arial" w:hAnsi="Arial" w:cs="Arial"/>
        </w:rPr>
        <w:t xml:space="preserve">having jurisdiction over labor matters and to confirmation by the Legislature.  The Governor, in making appointments, shall name one member and 2 alternates to represent employees, one member and 2 alternates to represent employers and one member and 2 alternates to represent the public.  The member and alternates representing employees may not have worked in a management capacity or represented employer interests in any proceedings at any time during the prior 6 years.  The member and alternates representing the public may not have worked in a management capacity or represented employer interests in any proceedings or have worked for a labor organization or served in a leadership role in a labor organization at any time during the prior 6 years.  The member representing the public serves as the board's chair and the alternate representing the public serves as an alternate chair.  Members of the board are entitled to compensation according to the provisions of </w:t>
      </w:r>
      <w:bookmarkStart w:id="24" w:name="_CROSS_REFERENCE__4a370c06_e00a_442b_8b2"/>
      <w:r>
        <w:rPr>
          <w:rFonts w:ascii="Arial" w:eastAsia="Arial" w:hAnsi="Arial" w:cs="Arial"/>
        </w:rPr>
        <w:t>Title 5, chapter 379</w:t>
      </w:r>
      <w:bookmarkEnd w:id="24"/>
      <w:r>
        <w:rPr>
          <w:rFonts w:ascii="Arial" w:eastAsia="Arial" w:hAnsi="Arial" w:cs="Arial"/>
        </w:rPr>
        <w:t xml:space="preserve">.  The alternates are entitled to compensation at the same per diem rate as the member that the alternate replaces.  The term of each member and each alternate is 4 years, except that of the members and alternates first appointed, one member and 2 alternates are appointed for a term of 4 years, one member and 2 alternates are appointed for a term of 3 years and one member and 2 alternates are appointed for a term of 2 years.  The members of the board, its alternates and its employees are entitled to receive necessary expenses.  Per </w:t>
      </w:r>
      <w:r>
        <w:rPr>
          <w:rFonts w:ascii="Arial" w:eastAsia="Arial" w:hAnsi="Arial" w:cs="Arial"/>
          <w:u w:val="single"/>
        </w:rPr>
        <w:t>diem an</w:t>
      </w:r>
      <w:r>
        <w:rPr>
          <w:rFonts w:ascii="Arial" w:eastAsia="Arial" w:hAnsi="Arial" w:cs="Arial"/>
          <w:u w:val="single"/>
        </w:rPr>
        <w:t>d necessary expenses for members and alternates of the board may be paid from the board's General Fund appropriation if, in the d</w:t>
      </w:r>
      <w:r>
        <w:rPr>
          <w:rFonts w:ascii="Arial" w:eastAsia="Arial" w:hAnsi="Arial" w:cs="Arial"/>
          <w:u w:val="single"/>
        </w:rPr>
        <w:t>i</w:t>
      </w:r>
      <w:r>
        <w:rPr>
          <w:rFonts w:ascii="Arial" w:eastAsia="Arial" w:hAnsi="Arial" w:cs="Arial"/>
          <w:u w:val="single"/>
        </w:rPr>
        <w:t xml:space="preserve">scretion of the executive director, </w:t>
      </w:r>
      <w:r>
        <w:rPr>
          <w:rFonts w:ascii="Arial" w:eastAsia="Arial" w:hAnsi="Arial" w:cs="Arial"/>
          <w:u w:val="single"/>
        </w:rPr>
        <w:t>doing so</w:t>
      </w:r>
      <w:r>
        <w:rPr>
          <w:rFonts w:ascii="Arial" w:eastAsia="Arial" w:hAnsi="Arial" w:cs="Arial"/>
          <w:u w:val="single"/>
        </w:rPr>
        <w:t xml:space="preserve"> would not create a financial hardship for the board; otherwise, per</w:t>
      </w:r>
      <w:r>
        <w:rPr>
          <w:rFonts w:ascii="Arial" w:eastAsia="Arial" w:hAnsi="Arial" w:cs="Arial"/>
        </w:rPr>
        <w:t xml:space="preserve"> diem and necessary expenses for members and alternates of the board, as well as state cost allocation program charges, must be shared equally by the parties to any proceeding at which the board presides and must be paid into a special fund administered by the board from which all costs must be paid.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w:t>
      </w:r>
      <w:r>
        <w:rPr>
          <w:rFonts w:ascii="Arial" w:eastAsia="Arial" w:hAnsi="Arial" w:cs="Arial"/>
          <w:strike/>
        </w:rPr>
        <w:t>provision</w:t>
      </w:r>
      <w:r>
        <w:rPr>
          <w:rFonts w:ascii="Arial" w:eastAsia="Arial" w:hAnsi="Arial" w:cs="Arial"/>
        </w:rPr>
        <w:t xml:space="preserve"> </w:t>
      </w:r>
      <w:r>
        <w:rPr>
          <w:rFonts w:ascii="Arial" w:eastAsia="Arial" w:hAnsi="Arial" w:cs="Arial"/>
          <w:u w:val="single"/>
        </w:rPr>
        <w:t>subsection</w:t>
      </w:r>
      <w:r>
        <w:rPr>
          <w:rFonts w:ascii="Arial" w:eastAsia="Arial" w:hAnsi="Arial" w:cs="Arial"/>
        </w:rPr>
        <w:t xml:space="preserve"> remains in the special fund administered by the Maine Labor Relations Board, and that fund does not lapse.  The executive director is authorized to collect any sums due and payable pursuant to this </w:t>
      </w:r>
      <w:r>
        <w:rPr>
          <w:rFonts w:ascii="Arial" w:eastAsia="Arial" w:hAnsi="Arial" w:cs="Arial"/>
          <w:strike/>
        </w:rPr>
        <w:t>provision</w:t>
      </w:r>
      <w:r>
        <w:rPr>
          <w:rFonts w:ascii="Arial" w:eastAsia="Arial" w:hAnsi="Arial" w:cs="Arial"/>
        </w:rPr>
        <w:t xml:space="preserve"> </w:t>
      </w:r>
      <w:r>
        <w:rPr>
          <w:rFonts w:ascii="Arial" w:eastAsia="Arial" w:hAnsi="Arial" w:cs="Arial"/>
          <w:u w:val="single"/>
        </w:rPr>
        <w:t>sub</w:t>
      </w:r>
      <w:r>
        <w:rPr>
          <w:rFonts w:ascii="Arial" w:eastAsia="Arial" w:hAnsi="Arial" w:cs="Arial"/>
          <w:u w:val="single"/>
        </w:rPr>
        <w:t>section</w:t>
      </w:r>
      <w:r>
        <w:rPr>
          <w:rFonts w:ascii="Arial" w:eastAsia="Arial" w:hAnsi="Arial" w:cs="Arial"/>
        </w:rPr>
        <w:t xml:space="preserve"> through civil action.  In such an action, the court shall allow litigation costs, including court costs and reasonable attorney's fees, to be deposited in the General Fund if the executive director is the prevailing party in the action.  At its discretion, the board may allocate all costs to a party that presents a frivolous complaint or defense or that commits a blatant violation of the applicable collective bargaining law.  When the board meets on administrative or other matters that do not concern the interests of particular parties or when any board member presides at a prehearing conference, the members' per diem and necessary expenses must be paid from the board's regular appropriation for these purposes.  The executive director and legal or professional personnel employed by the board are members of the unclassified service.</w:t>
      </w:r>
      <w:bookmarkEnd w:id="21"/>
      <w:bookmarkEnd w:id="2"/>
      <w:bookmarkEnd w:id="6"/>
      <w:bookmarkEnd w:id="15"/>
      <w:bookmarkEnd w:id="19"/>
      <w:bookmarkEnd w:id="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LR0433,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Change the Compensation Structure of the Maine Labor Relations Board and the State Board of Arbitration and Conciliation</w:t>
    </w:r>
  </w:p>
  <w:p>
    <w:pPr>
      <w:suppressLineNumbers/>
      <w:spacing w:before="0" w:after="0"/>
      <w:jc w:val="center"/>
      <w:rPr>
        <w:rFonts w:ascii="Arial" w:eastAsia="Arial" w:hAnsi="Arial" w:cs="Arial"/>
      </w:rPr>
    </w:pPr>
    <w:r>
      <w:rPr>
        <w:rFonts w:ascii="Arial" w:eastAsia="Arial" w:hAnsi="Arial" w:cs="Arial"/>
        <w:sz w:val="22"/>
      </w:rPr>
      <w:t>L.D. 494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BF20E4"/>
    <w:rsid w:val="00C6107B"/>
    <w:rsid w:val="00C61EAA"/>
    <w:rsid w:val="00CA163F"/>
    <w:rsid w:val="00D04879"/>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