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To Improve Behavioral Health Care for Children</w:t>
      </w:r>
    </w:p>
    <w:p w:rsidR="0083533D" w:rsidP="0083533D">
      <w:pPr>
        <w:spacing w:after="240"/>
        <w:ind w:left="360"/>
        <w:jc w:val="right"/>
        <w:rPr>
          <w:rFonts w:ascii="Arial" w:eastAsia="Arial" w:hAnsi="Arial" w:cs="Arial"/>
          <w:caps/>
        </w:rPr>
      </w:pPr>
      <w:bookmarkStart w:id="0" w:name="_AMEND_TITLE__25c6fe14_73d0_4d51_8329_67"/>
      <w:bookmarkStart w:id="1" w:name="_PAGE__1_bc0a338b_5aae_4b41_90a4_85be25e"/>
      <w:bookmarkStart w:id="2" w:name="_PAR__2_178f607d_478c_4379_82a1_6976c7b8"/>
      <w:r>
        <w:rPr>
          <w:rFonts w:ascii="Arial" w:eastAsia="Arial" w:hAnsi="Arial" w:cs="Arial"/>
          <w:caps/>
        </w:rPr>
        <w:t>L.D. 432</w:t>
      </w:r>
    </w:p>
    <w:p w:rsidR="0083533D" w:rsidP="0083533D">
      <w:pPr>
        <w:tabs>
          <w:tab w:val="right" w:pos="8928"/>
        </w:tabs>
        <w:spacing w:after="360"/>
        <w:ind w:left="360"/>
        <w:rPr>
          <w:rFonts w:ascii="Arial" w:eastAsia="Arial" w:hAnsi="Arial" w:cs="Arial"/>
        </w:rPr>
      </w:pPr>
      <w:bookmarkStart w:id="3" w:name="_PAR__3_38acbd9e_1f31_48f0_a9a9_9b19b3bc"/>
      <w:bookmarkEnd w:id="2"/>
      <w:r>
        <w:rPr>
          <w:rFonts w:ascii="Arial" w:eastAsia="Arial" w:hAnsi="Arial" w:cs="Arial"/>
        </w:rPr>
        <w:t>Date:</w:t>
      </w:r>
      <w:r>
        <w:rPr>
          <w:rFonts w:ascii="Arial" w:eastAsia="Arial" w:hAnsi="Arial" w:cs="Arial"/>
        </w:rPr>
        <w:tab/>
        <w:t>(Filing No. H-         )</w:t>
      </w:r>
    </w:p>
    <w:p w:rsidR="0083533D" w:rsidP="0083533D">
      <w:pPr>
        <w:spacing w:before="600" w:after="300"/>
        <w:ind w:left="360"/>
        <w:jc w:val="center"/>
        <w:outlineLvl w:val="0"/>
        <w:rPr>
          <w:rFonts w:ascii="Arial" w:eastAsia="Arial" w:hAnsi="Arial" w:cs="Arial"/>
        </w:rPr>
      </w:pPr>
      <w:bookmarkStart w:id="4" w:name="_PAR__4_c71dfa5c_453b_4d2c_9bee_0d783827"/>
      <w:bookmarkEnd w:id="3"/>
      <w:r>
        <w:rPr>
          <w:rFonts w:ascii="Arial" w:eastAsia="Arial" w:hAnsi="Arial" w:cs="Arial"/>
          <w:b/>
          <w:caps/>
          <w:sz w:val="24"/>
          <w:szCs w:val="32"/>
        </w:rPr>
        <w:t xml:space="preserve">Health and Human Services </w:t>
      </w:r>
    </w:p>
    <w:p w:rsidR="0083533D" w:rsidP="0083533D">
      <w:pPr>
        <w:spacing w:before="60" w:after="60"/>
        <w:ind w:left="720"/>
        <w:rPr>
          <w:rFonts w:ascii="Arial" w:eastAsia="Arial" w:hAnsi="Arial" w:cs="Arial"/>
        </w:rPr>
      </w:pPr>
      <w:bookmarkStart w:id="5" w:name="_PAR__5_873f818a_ecf9_48be_9ec6_32accd22"/>
      <w:bookmarkEnd w:id="4"/>
      <w:r>
        <w:rPr>
          <w:rFonts w:ascii="Arial" w:eastAsia="Arial" w:hAnsi="Arial" w:cs="Arial"/>
        </w:rPr>
        <w:t>Reproduced and distributed under the direction of the Clerk of the House.</w:t>
      </w:r>
    </w:p>
    <w:p w:rsidR="0083533D" w:rsidP="0083533D">
      <w:pPr>
        <w:spacing w:before="160" w:after="0"/>
        <w:ind w:left="360"/>
        <w:jc w:val="center"/>
        <w:outlineLvl w:val="0"/>
        <w:rPr>
          <w:rFonts w:ascii="Arial" w:eastAsia="Arial" w:hAnsi="Arial" w:cs="Arial"/>
          <w:b/>
          <w:caps/>
          <w:sz w:val="24"/>
          <w:szCs w:val="32"/>
        </w:rPr>
      </w:pPr>
      <w:bookmarkStart w:id="6" w:name="_PAR__6_8f4507cb_dcf5_4f27_bb54_1cd369f3"/>
      <w:bookmarkEnd w:id="5"/>
      <w:r>
        <w:rPr>
          <w:rFonts w:ascii="Arial" w:eastAsia="Arial" w:hAnsi="Arial" w:cs="Arial"/>
          <w:b/>
          <w:caps/>
          <w:sz w:val="24"/>
          <w:szCs w:val="32"/>
        </w:rPr>
        <w:t>STATE OF MAINE</w:t>
      </w:r>
    </w:p>
    <w:p w:rsidR="0083533D" w:rsidP="0083533D">
      <w:pPr>
        <w:spacing w:after="0"/>
        <w:ind w:left="360"/>
        <w:jc w:val="center"/>
        <w:outlineLvl w:val="0"/>
        <w:rPr>
          <w:rFonts w:ascii="Arial" w:eastAsia="Arial" w:hAnsi="Arial" w:cs="Arial"/>
          <w:b/>
          <w:caps/>
          <w:sz w:val="24"/>
          <w:szCs w:val="32"/>
        </w:rPr>
      </w:pPr>
      <w:bookmarkStart w:id="7" w:name="_PAR__7_f7038687_0188_4e01_a0a5_09909fcd"/>
      <w:bookmarkEnd w:id="6"/>
      <w:r>
        <w:rPr>
          <w:rFonts w:ascii="Arial" w:eastAsia="Arial" w:hAnsi="Arial" w:cs="Arial"/>
          <w:b/>
          <w:caps/>
          <w:sz w:val="24"/>
          <w:szCs w:val="32"/>
        </w:rPr>
        <w:t>HOUSE OF REPRESENTATIVES</w:t>
      </w:r>
    </w:p>
    <w:p w:rsidR="0083533D" w:rsidP="0083533D">
      <w:pPr>
        <w:spacing w:after="0"/>
        <w:ind w:left="360"/>
        <w:jc w:val="center"/>
        <w:outlineLvl w:val="0"/>
        <w:rPr>
          <w:rFonts w:ascii="Arial" w:eastAsia="Arial" w:hAnsi="Arial" w:cs="Arial"/>
          <w:b/>
          <w:caps/>
          <w:sz w:val="24"/>
          <w:szCs w:val="32"/>
        </w:rPr>
      </w:pPr>
      <w:bookmarkStart w:id="8" w:name="_PAR__8_88644194_7f3e_4773_bf7a_71cd583c"/>
      <w:bookmarkEnd w:id="7"/>
      <w:r>
        <w:rPr>
          <w:rFonts w:ascii="Arial" w:eastAsia="Arial" w:hAnsi="Arial" w:cs="Arial"/>
          <w:b/>
          <w:caps/>
          <w:sz w:val="24"/>
          <w:szCs w:val="32"/>
        </w:rPr>
        <w:t>130th Legislature</w:t>
      </w:r>
    </w:p>
    <w:p w:rsidR="0083533D" w:rsidP="0083533D">
      <w:pPr>
        <w:spacing w:after="0"/>
        <w:ind w:left="360"/>
        <w:jc w:val="center"/>
        <w:outlineLvl w:val="0"/>
        <w:rPr>
          <w:rFonts w:ascii="Arial" w:eastAsia="Arial" w:hAnsi="Arial" w:cs="Arial"/>
          <w:b/>
          <w:caps/>
          <w:sz w:val="24"/>
          <w:szCs w:val="32"/>
        </w:rPr>
      </w:pPr>
      <w:bookmarkStart w:id="9" w:name="_PAR__9_2fbadb94_11d9_4fee_9432_7e07b090"/>
      <w:bookmarkEnd w:id="8"/>
      <w:r>
        <w:rPr>
          <w:rFonts w:ascii="Arial" w:eastAsia="Arial" w:hAnsi="Arial" w:cs="Arial"/>
          <w:b/>
          <w:caps/>
          <w:sz w:val="24"/>
          <w:szCs w:val="32"/>
        </w:rPr>
        <w:t>First Special Session</w:t>
      </w:r>
    </w:p>
    <w:p w:rsidR="0083533D" w:rsidP="0083533D">
      <w:pPr>
        <w:spacing w:before="400" w:after="200"/>
        <w:ind w:left="360" w:firstLine="360"/>
        <w:rPr>
          <w:rFonts w:ascii="Arial" w:eastAsia="Arial" w:hAnsi="Arial" w:cs="Arial"/>
        </w:rPr>
      </w:pPr>
      <w:bookmarkStart w:id="10" w:name="_PAR__10_4c70865a_8a3e_4d5a_8446_18bda27"/>
      <w:bookmarkEnd w:id="9"/>
      <w:r>
        <w:rPr>
          <w:rFonts w:ascii="Arial" w:eastAsia="Arial" w:hAnsi="Arial" w:cs="Arial"/>
          <w:szCs w:val="22"/>
        </w:rPr>
        <w:t>COMMITTEE AMENDMENT “      ” to H.P. 312, L.D. 432, “Resolve, To Improve Behavioral Health Care for Children”</w:t>
      </w:r>
    </w:p>
    <w:p w:rsidR="0083533D" w:rsidP="0083533D">
      <w:pPr>
        <w:ind w:left="360" w:firstLine="360"/>
        <w:rPr>
          <w:rFonts w:ascii="Arial" w:eastAsia="Arial" w:hAnsi="Arial" w:cs="Arial"/>
        </w:rPr>
      </w:pPr>
      <w:bookmarkStart w:id="11" w:name="_INSTRUCTION__b0c4e818_7025_4e92_acf8_d6"/>
      <w:bookmarkStart w:id="12" w:name="_PAR__11_7ba50e0f_6153_46e9_a816_68ba4e3"/>
      <w:bookmarkEnd w:id="0"/>
      <w:bookmarkEnd w:id="10"/>
      <w:r>
        <w:rPr>
          <w:rFonts w:ascii="Arial" w:eastAsia="Arial" w:hAnsi="Arial" w:cs="Arial"/>
        </w:rPr>
        <w:t>Amend the resolve by striking out everything after the title and inserting the following:</w:t>
      </w:r>
    </w:p>
    <w:p w:rsidR="0083533D" w:rsidP="0083533D">
      <w:pPr>
        <w:ind w:left="360" w:firstLine="360"/>
        <w:rPr>
          <w:rFonts w:ascii="Arial" w:eastAsia="Arial" w:hAnsi="Arial" w:cs="Arial"/>
        </w:rPr>
      </w:pPr>
      <w:bookmarkStart w:id="13" w:name="_PAR__12_82dc8cd6_f88c_4c7f_b1b1_76bafd0"/>
      <w:bookmarkEnd w:id="12"/>
      <w:r>
        <w:rPr>
          <w:rFonts w:ascii="Arial" w:eastAsia="Arial" w:hAnsi="Arial" w:cs="Arial"/>
        </w:rPr>
        <w:t>'</w:t>
      </w:r>
      <w:r>
        <w:rPr>
          <w:rFonts w:ascii="Arial" w:eastAsia="Arial" w:hAnsi="Arial" w:cs="Arial"/>
          <w:b/>
          <w:sz w:val="24"/>
        </w:rPr>
        <w:t>Sec. 1</w:t>
      </w:r>
      <w:r w:rsidRPr="006C6FC1">
        <w:rPr>
          <w:rFonts w:ascii="Arial" w:eastAsia="Arial" w:hAnsi="Arial" w:cs="Arial"/>
          <w:b/>
          <w:sz w:val="24"/>
          <w:szCs w:val="24"/>
        </w:rPr>
        <w:t>.  Children</w:t>
      </w:r>
      <w:r>
        <w:rPr>
          <w:rFonts w:ascii="Arial" w:eastAsia="Arial" w:hAnsi="Arial" w:cs="Arial"/>
          <w:b/>
          <w:sz w:val="24"/>
          <w:szCs w:val="24"/>
        </w:rPr>
        <w:t>'</w:t>
      </w:r>
      <w:r w:rsidRPr="006C6FC1">
        <w:rPr>
          <w:rFonts w:ascii="Arial" w:eastAsia="Arial" w:hAnsi="Arial" w:cs="Arial"/>
          <w:b/>
          <w:sz w:val="24"/>
          <w:szCs w:val="24"/>
        </w:rPr>
        <w:t>s behavioral health services; collateral contacts.  Resolved:</w:t>
      </w:r>
      <w:r>
        <w:rPr>
          <w:rFonts w:ascii="Arial" w:eastAsia="Arial" w:hAnsi="Arial" w:cs="Arial"/>
        </w:rPr>
        <w:t xml:space="preserve">  That, no later than January 1, 2022, the Department of Health and Human Services shall amend rule Chapter 101:  MaineCare Benefits Manual, Chapter II, Section 65, Behavioral Health Services, to make the following changes to reimburse for collateral contacts for children's home and community-based treatment:</w:t>
      </w:r>
    </w:p>
    <w:p w:rsidR="0083533D" w:rsidP="0083533D">
      <w:pPr>
        <w:ind w:left="360" w:firstLine="360"/>
        <w:rPr>
          <w:rFonts w:ascii="Arial" w:eastAsia="Arial" w:hAnsi="Arial" w:cs="Arial"/>
        </w:rPr>
      </w:pPr>
      <w:bookmarkStart w:id="14" w:name="_PAR__13_1d59502a_8701_4a85_bae8_74cf163"/>
      <w:bookmarkEnd w:id="13"/>
      <w:r>
        <w:rPr>
          <w:rFonts w:ascii="Arial" w:eastAsia="Arial" w:hAnsi="Arial" w:cs="Arial"/>
        </w:rPr>
        <w:t>1.  Increase the number of billable collateral contact hours per year from 10 hours to 20 hours; and</w:t>
      </w:r>
    </w:p>
    <w:p w:rsidR="0083533D" w:rsidP="0083533D">
      <w:pPr>
        <w:ind w:left="360" w:firstLine="360"/>
        <w:rPr>
          <w:rFonts w:ascii="Arial" w:eastAsia="Arial" w:hAnsi="Arial" w:cs="Arial"/>
        </w:rPr>
      </w:pPr>
      <w:bookmarkStart w:id="15" w:name="_PAR__14_181adc67_ad9f_4600_ab72_b8d6535"/>
      <w:bookmarkEnd w:id="14"/>
      <w:r>
        <w:rPr>
          <w:rFonts w:ascii="Arial" w:eastAsia="Arial" w:hAnsi="Arial" w:cs="Arial"/>
        </w:rPr>
        <w:t>2.  Allow for collateral contacts between a mental health professional and other service providers to be conducted face-to-face, virtually or by telephone.</w:t>
      </w:r>
    </w:p>
    <w:p w:rsidR="0083533D" w:rsidP="0083533D">
      <w:pPr>
        <w:ind w:left="360" w:firstLine="360"/>
        <w:rPr>
          <w:rFonts w:ascii="Arial" w:eastAsia="Arial" w:hAnsi="Arial" w:cs="Arial"/>
        </w:rPr>
      </w:pPr>
      <w:bookmarkStart w:id="16" w:name="_PAR__15_505e9d91_3ce4_47e1_a65a_9dc8042"/>
      <w:bookmarkEnd w:id="15"/>
      <w:r>
        <w:rPr>
          <w:rFonts w:ascii="Arial" w:eastAsia="Arial" w:hAnsi="Arial" w:cs="Arial"/>
          <w:b/>
          <w:sz w:val="24"/>
        </w:rPr>
        <w:t>Sec. 2</w:t>
      </w:r>
      <w:r w:rsidRPr="006C6FC1">
        <w:rPr>
          <w:rFonts w:ascii="Arial" w:eastAsia="Arial" w:hAnsi="Arial" w:cs="Arial"/>
          <w:b/>
          <w:sz w:val="24"/>
          <w:szCs w:val="24"/>
        </w:rPr>
        <w:t>.  Rehabilitative and community support services for children with developmental disabilities; collateral contacts.  Resolved:</w:t>
      </w:r>
      <w:r w:rsidRPr="006C6FC1">
        <w:rPr>
          <w:rFonts w:ascii="Arial" w:eastAsia="Arial" w:hAnsi="Arial" w:cs="Arial"/>
        </w:rPr>
        <w:t xml:space="preserve">  That, no later than January 1, 2022, the Department of Health and Human Services shall amend rule Chapter 101:  MaineCare Benefits Manual, Chapter II, Section 28, Rehabilitative and Community Support Services for Children with Cognitive Impairments and Functional Limitations, to reimburse for 24 hours per year of collateral contacts between behavioral health professionals and other professionals and caregivers from other agencies who are included in the development of the Individual Treatment Plan.  The collateral contacts may be conducted face-to-face, virtually or by telephone.</w:t>
      </w:r>
    </w:p>
    <w:p w:rsidR="0083533D" w:rsidP="0083533D">
      <w:pPr>
        <w:ind w:left="360" w:firstLine="360"/>
        <w:rPr>
          <w:rFonts w:ascii="Arial" w:eastAsia="Arial" w:hAnsi="Arial" w:cs="Arial"/>
        </w:rPr>
      </w:pPr>
      <w:bookmarkStart w:id="17" w:name="_PAR__16_e9894e2b_55a1_44c9_93f7_2086c02"/>
      <w:bookmarkEnd w:id="16"/>
      <w:r>
        <w:rPr>
          <w:rFonts w:ascii="Arial" w:eastAsia="Arial" w:hAnsi="Arial" w:cs="Arial"/>
          <w:b/>
          <w:sz w:val="24"/>
        </w:rPr>
        <w:t>Sec. 3.  Appropriations and allocations.  Resolved:</w:t>
      </w:r>
      <w:r>
        <w:rPr>
          <w:rFonts w:ascii="Arial" w:eastAsia="Arial" w:hAnsi="Arial" w:cs="Arial"/>
        </w:rPr>
        <w:t>  That the following appropriations and allocations are made.</w:t>
      </w:r>
    </w:p>
    <w:p w:rsidR="0083533D" w:rsidP="0083533D">
      <w:pPr>
        <w:pStyle w:val="BPSParagraphLeftAlign"/>
        <w:suppressAutoHyphens/>
        <w:ind w:left="360"/>
        <w:rPr>
          <w:rFonts w:ascii="Arial" w:eastAsia="Arial" w:hAnsi="Arial" w:cs="Arial"/>
        </w:rPr>
      </w:pPr>
      <w:bookmarkStart w:id="18" w:name="_PAR__17_43c9c049_b4ac_4a36_9246_2aee84e"/>
      <w:bookmarkEnd w:id="17"/>
      <w:r>
        <w:rPr>
          <w:rFonts w:ascii="Arial" w:eastAsia="Arial" w:hAnsi="Arial" w:cs="Arial"/>
          <w:b/>
        </w:rPr>
        <w:t>HEALTH AND HUMAN SERVICES, DEPARTMENT OF</w:t>
      </w:r>
    </w:p>
    <w:p w:rsidR="0083533D" w:rsidP="0083533D">
      <w:pPr>
        <w:pStyle w:val="BPSParagraphLeftAlign"/>
        <w:suppressAutoHyphens/>
        <w:ind w:left="360"/>
        <w:rPr>
          <w:rFonts w:ascii="Arial" w:eastAsia="Arial" w:hAnsi="Arial" w:cs="Arial"/>
        </w:rPr>
      </w:pPr>
      <w:bookmarkStart w:id="19" w:name="_PAR__18_16c8807d_ca30_4e97_a40c_3249a65"/>
      <w:bookmarkEnd w:id="18"/>
      <w:r>
        <w:rPr>
          <w:rFonts w:ascii="Arial" w:eastAsia="Arial" w:hAnsi="Arial" w:cs="Arial"/>
          <w:b/>
        </w:rPr>
        <w:t>Medical Care - Payments to Providers 0147</w:t>
      </w:r>
    </w:p>
    <w:p w:rsidR="0083533D" w:rsidP="0083533D">
      <w:pPr>
        <w:ind w:left="360"/>
        <w:rPr>
          <w:rFonts w:ascii="Arial" w:eastAsia="Arial" w:hAnsi="Arial" w:cs="Arial"/>
        </w:rPr>
      </w:pPr>
      <w:bookmarkStart w:id="20" w:name="_PAGE__2_69fb435f_e769_44f5_bf57_0741b27"/>
      <w:bookmarkStart w:id="21" w:name="_PAR__2_8bef5cb3_3975_42b0_88b6_b25bd81b"/>
      <w:bookmarkEnd w:id="1"/>
      <w:bookmarkEnd w:id="19"/>
      <w:r>
        <w:rPr>
          <w:rFonts w:ascii="Arial" w:eastAsia="Arial" w:hAnsi="Arial" w:cs="Arial"/>
        </w:rPr>
        <w:t>Initiative: Provides funding to increase children's home and community-based treatment collateral services in the Department of Health and Human Services rule Chapter 101: MaineCare Benefits Manual, Chapter II, Section 65, Behavioral Health Services, and rule Chapter 101: MaineCare Benefits Manual, Chapter II, Section 28, Rehabilitative and Community Support Services for Children with Cognitive Impairments and Functional Limitations.</w:t>
      </w:r>
    </w:p>
    <w:tbl>
      <w:tblPr>
        <w:tblStyle w:val="BPSTable"/>
        <w:tblW w:w="0" w:type="auto"/>
        <w:tblInd w:w="360" w:type="dxa"/>
        <w:tblCellMar>
          <w:left w:w="0" w:type="dxa"/>
          <w:right w:w="0" w:type="dxa"/>
        </w:tblCellMar>
        <w:tblLook w:val="04A0"/>
      </w:tblPr>
      <w:tblGrid>
        <w:gridCol w:w="5009"/>
        <w:gridCol w:w="1463"/>
        <w:gridCol w:w="1463"/>
      </w:tblGrid>
      <w:tr w:rsidTr="00003739">
        <w:tblPrEx>
          <w:tblW w:w="0" w:type="auto"/>
          <w:tblInd w:w="360" w:type="dxa"/>
          <w:tblCellMar>
            <w:left w:w="0" w:type="dxa"/>
            <w:right w:w="0" w:type="dxa"/>
          </w:tblCellMar>
          <w:tblLook w:val="04A0"/>
        </w:tblPrEx>
        <w:tc>
          <w:tcPr>
            <w:tcW w:w="5069" w:type="dxa"/>
          </w:tcPr>
          <w:p w:rsidR="0083533D" w:rsidP="00003739">
            <w:pPr>
              <w:spacing w:before="0" w:after="0"/>
              <w:rPr>
                <w:rFonts w:ascii="Arial" w:eastAsia="Arial" w:hAnsi="Arial" w:cs="Arial"/>
              </w:rPr>
            </w:pPr>
            <w:bookmarkStart w:id="22" w:name="_PAR__3_994bd613_523f_4595_b647_a00c714f"/>
            <w:bookmarkStart w:id="23" w:name="_LINE__7_e993acd0_e59d_4116_ae14_fff8fdf"/>
            <w:bookmarkEnd w:id="21"/>
            <w:r>
              <w:rPr>
                <w:rFonts w:ascii="Arial" w:eastAsia="Arial" w:hAnsi="Arial" w:cs="Arial"/>
                <w:b/>
              </w:rPr>
              <w:t>GENERAL FUND</w:t>
            </w:r>
            <w:bookmarkEnd w:id="23"/>
          </w:p>
        </w:tc>
        <w:tc>
          <w:tcPr>
            <w:tcW w:w="1469" w:type="dxa"/>
          </w:tcPr>
          <w:p w:rsidR="0083533D" w:rsidP="00003739">
            <w:pPr>
              <w:spacing w:before="0" w:after="0"/>
              <w:jc w:val="right"/>
              <w:rPr>
                <w:rFonts w:ascii="Arial" w:eastAsia="Arial" w:hAnsi="Arial" w:cs="Arial"/>
              </w:rPr>
            </w:pPr>
            <w:bookmarkStart w:id="24" w:name="_LINE__7_e2a49829_c66a_4549_86fa_176f8f4"/>
            <w:r>
              <w:rPr>
                <w:rFonts w:ascii="Arial" w:eastAsia="Arial" w:hAnsi="Arial" w:cs="Arial"/>
                <w:b/>
              </w:rPr>
              <w:t>2021-22</w:t>
            </w:r>
            <w:bookmarkEnd w:id="24"/>
          </w:p>
        </w:tc>
        <w:tc>
          <w:tcPr>
            <w:tcW w:w="1469" w:type="dxa"/>
          </w:tcPr>
          <w:p w:rsidR="0083533D" w:rsidP="00003739">
            <w:pPr>
              <w:spacing w:before="0" w:after="0"/>
              <w:jc w:val="right"/>
              <w:rPr>
                <w:rFonts w:ascii="Arial" w:eastAsia="Arial" w:hAnsi="Arial" w:cs="Arial"/>
              </w:rPr>
            </w:pPr>
            <w:bookmarkStart w:id="25" w:name="_LINE__7_a79bfaf1_0c4f_458d_b252_d91bfa5"/>
            <w:r>
              <w:rPr>
                <w:rFonts w:ascii="Arial" w:eastAsia="Arial" w:hAnsi="Arial" w:cs="Arial"/>
                <w:b/>
              </w:rPr>
              <w:t>2022-23</w:t>
            </w:r>
            <w:bookmarkEnd w:id="25"/>
          </w:p>
        </w:tc>
      </w:tr>
      <w:tr w:rsidTr="00003739">
        <w:tblPrEx>
          <w:tblW w:w="0" w:type="auto"/>
          <w:tblInd w:w="360" w:type="dxa"/>
          <w:tblCellMar>
            <w:left w:w="0" w:type="dxa"/>
            <w:right w:w="0" w:type="dxa"/>
          </w:tblCellMar>
          <w:tblLook w:val="04A0"/>
        </w:tblPrEx>
        <w:tc>
          <w:tcPr>
            <w:tcW w:w="5069" w:type="dxa"/>
          </w:tcPr>
          <w:p w:rsidR="0083533D" w:rsidP="00003739">
            <w:pPr>
              <w:spacing w:before="0" w:after="0"/>
              <w:ind w:left="180"/>
              <w:rPr>
                <w:rFonts w:ascii="Arial" w:eastAsia="Arial" w:hAnsi="Arial" w:cs="Arial"/>
              </w:rPr>
            </w:pPr>
            <w:bookmarkStart w:id="26" w:name="_LINE__8_c6b38df5_e7ee_4c76_9f2a_0073302"/>
            <w:r>
              <w:rPr>
                <w:rFonts w:ascii="Arial" w:eastAsia="Arial" w:hAnsi="Arial" w:cs="Arial"/>
              </w:rPr>
              <w:t>All Other</w:t>
            </w:r>
            <w:bookmarkEnd w:id="26"/>
          </w:p>
        </w:tc>
        <w:tc>
          <w:tcPr>
            <w:tcW w:w="1469" w:type="dxa"/>
          </w:tcPr>
          <w:p w:rsidR="0083533D" w:rsidP="00003739">
            <w:pPr>
              <w:spacing w:before="0" w:after="0"/>
              <w:jc w:val="right"/>
              <w:rPr>
                <w:rFonts w:ascii="Arial" w:eastAsia="Arial" w:hAnsi="Arial" w:cs="Arial"/>
              </w:rPr>
            </w:pPr>
            <w:bookmarkStart w:id="27" w:name="_LINE__8_8d812bb6_9b40_46aa_8ad1_908f1ac"/>
            <w:r>
              <w:rPr>
                <w:rFonts w:ascii="Arial" w:eastAsia="Arial" w:hAnsi="Arial" w:cs="Arial"/>
              </w:rPr>
              <w:t>$66,085</w:t>
            </w:r>
            <w:bookmarkEnd w:id="27"/>
          </w:p>
        </w:tc>
        <w:tc>
          <w:tcPr>
            <w:tcW w:w="1469" w:type="dxa"/>
          </w:tcPr>
          <w:p w:rsidR="0083533D" w:rsidP="00003739">
            <w:pPr>
              <w:spacing w:before="0" w:after="0"/>
              <w:jc w:val="right"/>
              <w:rPr>
                <w:rFonts w:ascii="Arial" w:eastAsia="Arial" w:hAnsi="Arial" w:cs="Arial"/>
              </w:rPr>
            </w:pPr>
            <w:bookmarkStart w:id="28" w:name="_LINE__8_f36c8f78_0119_4fbe_abae_614eb2d"/>
            <w:r>
              <w:rPr>
                <w:rFonts w:ascii="Arial" w:eastAsia="Arial" w:hAnsi="Arial" w:cs="Arial"/>
              </w:rPr>
              <w:t>$132,972</w:t>
            </w:r>
            <w:bookmarkEnd w:id="28"/>
          </w:p>
        </w:tc>
      </w:tr>
      <w:tr w:rsidTr="00003739">
        <w:tblPrEx>
          <w:tblW w:w="0" w:type="auto"/>
          <w:tblInd w:w="360" w:type="dxa"/>
          <w:tblCellMar>
            <w:left w:w="0" w:type="dxa"/>
            <w:right w:w="0" w:type="dxa"/>
          </w:tblCellMar>
          <w:tblLook w:val="04A0"/>
        </w:tblPrEx>
        <w:tc>
          <w:tcPr>
            <w:tcW w:w="5069" w:type="dxa"/>
          </w:tcPr>
          <w:p w:rsidR="0083533D" w:rsidP="00003739">
            <w:pPr>
              <w:spacing w:before="0" w:after="0"/>
              <w:rPr>
                <w:rFonts w:ascii="Arial" w:eastAsia="Arial" w:hAnsi="Arial" w:cs="Arial"/>
              </w:rPr>
            </w:pPr>
            <w:bookmarkStart w:id="29" w:name="_LINE__9_30903292_75b6_457b_83c6_755d0f3"/>
            <w:r>
              <w:rPr>
                <w:rFonts w:ascii="Arial" w:eastAsia="Arial" w:hAnsi="Arial" w:cs="Arial"/>
              </w:rPr>
              <w:t xml:space="preserve"> </w:t>
            </w:r>
            <w:bookmarkEnd w:id="29"/>
          </w:p>
        </w:tc>
        <w:tc>
          <w:tcPr>
            <w:tcW w:w="1469" w:type="dxa"/>
          </w:tcPr>
          <w:p w:rsidR="0083533D" w:rsidP="00003739">
            <w:pPr>
              <w:spacing w:before="0" w:after="0"/>
              <w:jc w:val="right"/>
              <w:rPr>
                <w:rFonts w:ascii="Arial" w:eastAsia="Arial" w:hAnsi="Arial" w:cs="Arial"/>
              </w:rPr>
            </w:pPr>
            <w:bookmarkStart w:id="30" w:name="_LINE__9_b7bd9079_fa6c_40d8_b834_30fe9b7"/>
            <w:r>
              <w:rPr>
                <w:rFonts w:ascii="Arial" w:eastAsia="Arial" w:hAnsi="Arial" w:cs="Arial"/>
              </w:rPr>
              <w:t>__________</w:t>
            </w:r>
            <w:bookmarkEnd w:id="30"/>
          </w:p>
        </w:tc>
        <w:tc>
          <w:tcPr>
            <w:tcW w:w="1469" w:type="dxa"/>
          </w:tcPr>
          <w:p w:rsidR="0083533D" w:rsidP="00003739">
            <w:pPr>
              <w:spacing w:before="0" w:after="0"/>
              <w:jc w:val="right"/>
              <w:rPr>
                <w:rFonts w:ascii="Arial" w:eastAsia="Arial" w:hAnsi="Arial" w:cs="Arial"/>
              </w:rPr>
            </w:pPr>
            <w:bookmarkStart w:id="31" w:name="_LINE__9_fbd24fa3_d405_4db0_a08b_b671e94"/>
            <w:r>
              <w:rPr>
                <w:rFonts w:ascii="Arial" w:eastAsia="Arial" w:hAnsi="Arial" w:cs="Arial"/>
              </w:rPr>
              <w:t>__________</w:t>
            </w:r>
            <w:bookmarkEnd w:id="31"/>
          </w:p>
        </w:tc>
      </w:tr>
      <w:tr w:rsidTr="00003739">
        <w:tblPrEx>
          <w:tblW w:w="0" w:type="auto"/>
          <w:tblInd w:w="360" w:type="dxa"/>
          <w:tblCellMar>
            <w:left w:w="0" w:type="dxa"/>
            <w:right w:w="0" w:type="dxa"/>
          </w:tblCellMar>
          <w:tblLook w:val="04A0"/>
        </w:tblPrEx>
        <w:tc>
          <w:tcPr>
            <w:tcW w:w="5069" w:type="dxa"/>
          </w:tcPr>
          <w:p w:rsidR="0083533D" w:rsidP="00003739">
            <w:pPr>
              <w:spacing w:before="0" w:after="0"/>
              <w:rPr>
                <w:rFonts w:ascii="Arial" w:eastAsia="Arial" w:hAnsi="Arial" w:cs="Arial"/>
              </w:rPr>
            </w:pPr>
            <w:bookmarkStart w:id="32" w:name="_LINE__10_88472d92_a37d_4398_9f04_483d23"/>
            <w:r>
              <w:rPr>
                <w:rFonts w:ascii="Arial" w:eastAsia="Arial" w:hAnsi="Arial" w:cs="Arial"/>
              </w:rPr>
              <w:t>GENERAL FUND TOTAL</w:t>
            </w:r>
            <w:bookmarkEnd w:id="32"/>
          </w:p>
        </w:tc>
        <w:tc>
          <w:tcPr>
            <w:tcW w:w="1469" w:type="dxa"/>
          </w:tcPr>
          <w:p w:rsidR="0083533D" w:rsidP="00003739">
            <w:pPr>
              <w:spacing w:before="0" w:after="0"/>
              <w:jc w:val="right"/>
              <w:rPr>
                <w:rFonts w:ascii="Arial" w:eastAsia="Arial" w:hAnsi="Arial" w:cs="Arial"/>
              </w:rPr>
            </w:pPr>
            <w:bookmarkStart w:id="33" w:name="_LINE__10_32c4a8fc_7f52_47d3_8f3a_4ea8ed"/>
            <w:r>
              <w:rPr>
                <w:rFonts w:ascii="Arial" w:eastAsia="Arial" w:hAnsi="Arial" w:cs="Arial"/>
              </w:rPr>
              <w:t>$66,085</w:t>
            </w:r>
            <w:bookmarkEnd w:id="33"/>
          </w:p>
        </w:tc>
        <w:tc>
          <w:tcPr>
            <w:tcW w:w="1469" w:type="dxa"/>
          </w:tcPr>
          <w:p w:rsidR="0083533D" w:rsidP="00003739">
            <w:pPr>
              <w:spacing w:before="0" w:after="0"/>
              <w:jc w:val="right"/>
              <w:rPr>
                <w:rFonts w:ascii="Arial" w:eastAsia="Arial" w:hAnsi="Arial" w:cs="Arial"/>
              </w:rPr>
            </w:pPr>
            <w:bookmarkStart w:id="34" w:name="_LINE__10_caf7c41c_48bc_4f6c_b5ec_bc900b"/>
            <w:r>
              <w:rPr>
                <w:rFonts w:ascii="Arial" w:eastAsia="Arial" w:hAnsi="Arial" w:cs="Arial"/>
              </w:rPr>
              <w:t>$132,972</w:t>
            </w:r>
            <w:bookmarkEnd w:id="34"/>
          </w:p>
        </w:tc>
      </w:tr>
    </w:tbl>
    <w:p w:rsidR="0083533D" w:rsidP="0083533D">
      <w:pPr>
        <w:ind w:left="360"/>
        <w:rPr>
          <w:rFonts w:ascii="Arial" w:eastAsia="Arial" w:hAnsi="Arial" w:cs="Arial"/>
        </w:rPr>
      </w:pPr>
      <w:bookmarkStart w:id="35" w:name="_PAR__4_16babbe6_f969_4211_b54c_cc47c439"/>
      <w:bookmarkEnd w:id="22"/>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03739">
        <w:tblPrEx>
          <w:tblW w:w="0" w:type="auto"/>
          <w:tblInd w:w="360" w:type="dxa"/>
          <w:tblCellMar>
            <w:left w:w="0" w:type="dxa"/>
            <w:right w:w="0" w:type="dxa"/>
          </w:tblCellMar>
          <w:tblLook w:val="04A0"/>
        </w:tblPrEx>
        <w:tc>
          <w:tcPr>
            <w:tcW w:w="5069" w:type="dxa"/>
          </w:tcPr>
          <w:p w:rsidR="0083533D" w:rsidP="00003739">
            <w:pPr>
              <w:spacing w:before="0" w:after="0"/>
              <w:rPr>
                <w:rFonts w:ascii="Arial" w:eastAsia="Arial" w:hAnsi="Arial" w:cs="Arial"/>
              </w:rPr>
            </w:pPr>
            <w:bookmarkStart w:id="36" w:name="_PAR__5_cd2bcbd4_95e5_4e6c_bfc3_cce9c135"/>
            <w:bookmarkStart w:id="37" w:name="_LINE__12_9334ebfa_fff2_4559_a6a2_7e3bf9"/>
            <w:bookmarkEnd w:id="35"/>
            <w:r>
              <w:rPr>
                <w:rFonts w:ascii="Arial" w:eastAsia="Arial" w:hAnsi="Arial" w:cs="Arial"/>
                <w:b/>
              </w:rPr>
              <w:t>FEDERAL EXPENDITURES FUND</w:t>
            </w:r>
            <w:bookmarkEnd w:id="37"/>
          </w:p>
        </w:tc>
        <w:tc>
          <w:tcPr>
            <w:tcW w:w="1469" w:type="dxa"/>
          </w:tcPr>
          <w:p w:rsidR="0083533D" w:rsidP="00003739">
            <w:pPr>
              <w:spacing w:before="0" w:after="0"/>
              <w:jc w:val="right"/>
              <w:rPr>
                <w:rFonts w:ascii="Arial" w:eastAsia="Arial" w:hAnsi="Arial" w:cs="Arial"/>
              </w:rPr>
            </w:pPr>
            <w:bookmarkStart w:id="38" w:name="_LINE__12_ec7f306f_8408_4896_b4e6_002d86"/>
            <w:r>
              <w:rPr>
                <w:rFonts w:ascii="Arial" w:eastAsia="Arial" w:hAnsi="Arial" w:cs="Arial"/>
                <w:b/>
              </w:rPr>
              <w:t>2021-22</w:t>
            </w:r>
            <w:bookmarkEnd w:id="38"/>
          </w:p>
        </w:tc>
        <w:tc>
          <w:tcPr>
            <w:tcW w:w="1469" w:type="dxa"/>
          </w:tcPr>
          <w:p w:rsidR="0083533D" w:rsidP="00003739">
            <w:pPr>
              <w:spacing w:before="0" w:after="0"/>
              <w:jc w:val="right"/>
              <w:rPr>
                <w:rFonts w:ascii="Arial" w:eastAsia="Arial" w:hAnsi="Arial" w:cs="Arial"/>
              </w:rPr>
            </w:pPr>
            <w:bookmarkStart w:id="39" w:name="_LINE__12_1d8f6b2a_64c5_4bee_a4be_289154"/>
            <w:r>
              <w:rPr>
                <w:rFonts w:ascii="Arial" w:eastAsia="Arial" w:hAnsi="Arial" w:cs="Arial"/>
                <w:b/>
              </w:rPr>
              <w:t>2022-23</w:t>
            </w:r>
            <w:bookmarkEnd w:id="39"/>
          </w:p>
        </w:tc>
      </w:tr>
      <w:tr w:rsidTr="00003739">
        <w:tblPrEx>
          <w:tblW w:w="0" w:type="auto"/>
          <w:tblInd w:w="360" w:type="dxa"/>
          <w:tblCellMar>
            <w:left w:w="0" w:type="dxa"/>
            <w:right w:w="0" w:type="dxa"/>
          </w:tblCellMar>
          <w:tblLook w:val="04A0"/>
        </w:tblPrEx>
        <w:tc>
          <w:tcPr>
            <w:tcW w:w="5069" w:type="dxa"/>
          </w:tcPr>
          <w:p w:rsidR="0083533D" w:rsidP="00003739">
            <w:pPr>
              <w:spacing w:before="0" w:after="0"/>
              <w:ind w:left="180"/>
              <w:rPr>
                <w:rFonts w:ascii="Arial" w:eastAsia="Arial" w:hAnsi="Arial" w:cs="Arial"/>
              </w:rPr>
            </w:pPr>
            <w:bookmarkStart w:id="40" w:name="_LINE__13_e5641dce_5e60_4851_9e81_0a34b1"/>
            <w:r>
              <w:rPr>
                <w:rFonts w:ascii="Arial" w:eastAsia="Arial" w:hAnsi="Arial" w:cs="Arial"/>
              </w:rPr>
              <w:t>All Other</w:t>
            </w:r>
            <w:bookmarkEnd w:id="40"/>
          </w:p>
        </w:tc>
        <w:tc>
          <w:tcPr>
            <w:tcW w:w="1469" w:type="dxa"/>
          </w:tcPr>
          <w:p w:rsidR="0083533D" w:rsidP="00003739">
            <w:pPr>
              <w:spacing w:before="0" w:after="0"/>
              <w:jc w:val="right"/>
              <w:rPr>
                <w:rFonts w:ascii="Arial" w:eastAsia="Arial" w:hAnsi="Arial" w:cs="Arial"/>
              </w:rPr>
            </w:pPr>
            <w:bookmarkStart w:id="41" w:name="_LINE__13_6fb75757_f248_4f07_b8bb_92093b"/>
            <w:r>
              <w:rPr>
                <w:rFonts w:ascii="Arial" w:eastAsia="Arial" w:hAnsi="Arial" w:cs="Arial"/>
              </w:rPr>
              <w:t>$119,932</w:t>
            </w:r>
            <w:bookmarkEnd w:id="41"/>
          </w:p>
        </w:tc>
        <w:tc>
          <w:tcPr>
            <w:tcW w:w="1469" w:type="dxa"/>
          </w:tcPr>
          <w:p w:rsidR="0083533D" w:rsidP="00003739">
            <w:pPr>
              <w:spacing w:before="0" w:after="0"/>
              <w:jc w:val="right"/>
              <w:rPr>
                <w:rFonts w:ascii="Arial" w:eastAsia="Arial" w:hAnsi="Arial" w:cs="Arial"/>
              </w:rPr>
            </w:pPr>
            <w:bookmarkStart w:id="42" w:name="_LINE__13_32d6f057_8f11_45ea_84c7_e917df"/>
            <w:r>
              <w:rPr>
                <w:rFonts w:ascii="Arial" w:eastAsia="Arial" w:hAnsi="Arial" w:cs="Arial"/>
              </w:rPr>
              <w:t>$239,061</w:t>
            </w:r>
            <w:bookmarkEnd w:id="42"/>
          </w:p>
        </w:tc>
      </w:tr>
      <w:tr w:rsidTr="00003739">
        <w:tblPrEx>
          <w:tblW w:w="0" w:type="auto"/>
          <w:tblInd w:w="360" w:type="dxa"/>
          <w:tblCellMar>
            <w:left w:w="0" w:type="dxa"/>
            <w:right w:w="0" w:type="dxa"/>
          </w:tblCellMar>
          <w:tblLook w:val="04A0"/>
        </w:tblPrEx>
        <w:tc>
          <w:tcPr>
            <w:tcW w:w="5069" w:type="dxa"/>
          </w:tcPr>
          <w:p w:rsidR="0083533D" w:rsidP="00003739">
            <w:pPr>
              <w:spacing w:before="0" w:after="0"/>
              <w:rPr>
                <w:rFonts w:ascii="Arial" w:eastAsia="Arial" w:hAnsi="Arial" w:cs="Arial"/>
              </w:rPr>
            </w:pPr>
            <w:bookmarkStart w:id="43" w:name="_LINE__14_ee661a37_ab9e_448c_a75e_e74332"/>
            <w:r>
              <w:rPr>
                <w:rFonts w:ascii="Arial" w:eastAsia="Arial" w:hAnsi="Arial" w:cs="Arial"/>
              </w:rPr>
              <w:t xml:space="preserve"> </w:t>
            </w:r>
            <w:bookmarkEnd w:id="43"/>
          </w:p>
        </w:tc>
        <w:tc>
          <w:tcPr>
            <w:tcW w:w="1469" w:type="dxa"/>
          </w:tcPr>
          <w:p w:rsidR="0083533D" w:rsidP="00003739">
            <w:pPr>
              <w:spacing w:before="0" w:after="0"/>
              <w:jc w:val="right"/>
              <w:rPr>
                <w:rFonts w:ascii="Arial" w:eastAsia="Arial" w:hAnsi="Arial" w:cs="Arial"/>
              </w:rPr>
            </w:pPr>
            <w:bookmarkStart w:id="44" w:name="_LINE__14_4a994b49_ebd5_4836_94aa_09e67b"/>
            <w:r>
              <w:rPr>
                <w:rFonts w:ascii="Arial" w:eastAsia="Arial" w:hAnsi="Arial" w:cs="Arial"/>
              </w:rPr>
              <w:t>__________</w:t>
            </w:r>
            <w:bookmarkEnd w:id="44"/>
          </w:p>
        </w:tc>
        <w:tc>
          <w:tcPr>
            <w:tcW w:w="1469" w:type="dxa"/>
          </w:tcPr>
          <w:p w:rsidR="0083533D" w:rsidP="00003739">
            <w:pPr>
              <w:spacing w:before="0" w:after="0"/>
              <w:jc w:val="right"/>
              <w:rPr>
                <w:rFonts w:ascii="Arial" w:eastAsia="Arial" w:hAnsi="Arial" w:cs="Arial"/>
              </w:rPr>
            </w:pPr>
            <w:bookmarkStart w:id="45" w:name="_LINE__14_c0a5a844_c8c0_483d_9d2e_04c3fc"/>
            <w:r>
              <w:rPr>
                <w:rFonts w:ascii="Arial" w:eastAsia="Arial" w:hAnsi="Arial" w:cs="Arial"/>
              </w:rPr>
              <w:t>__________</w:t>
            </w:r>
            <w:bookmarkEnd w:id="45"/>
          </w:p>
        </w:tc>
      </w:tr>
      <w:tr w:rsidTr="00003739">
        <w:tblPrEx>
          <w:tblW w:w="0" w:type="auto"/>
          <w:tblInd w:w="360" w:type="dxa"/>
          <w:tblCellMar>
            <w:left w:w="0" w:type="dxa"/>
            <w:right w:w="0" w:type="dxa"/>
          </w:tblCellMar>
          <w:tblLook w:val="04A0"/>
        </w:tblPrEx>
        <w:tc>
          <w:tcPr>
            <w:tcW w:w="5069" w:type="dxa"/>
          </w:tcPr>
          <w:p w:rsidR="0083533D" w:rsidP="00003739">
            <w:pPr>
              <w:spacing w:before="0" w:after="0"/>
              <w:rPr>
                <w:rFonts w:ascii="Arial" w:eastAsia="Arial" w:hAnsi="Arial" w:cs="Arial"/>
              </w:rPr>
            </w:pPr>
            <w:bookmarkStart w:id="46" w:name="_LINE__15_db0d43a8_5650_435f_935b_2e6fcb"/>
            <w:r>
              <w:rPr>
                <w:rFonts w:ascii="Arial" w:eastAsia="Arial" w:hAnsi="Arial" w:cs="Arial"/>
              </w:rPr>
              <w:t>FEDERAL EXPENDITURES FUND TOTAL</w:t>
            </w:r>
            <w:bookmarkEnd w:id="46"/>
          </w:p>
        </w:tc>
        <w:tc>
          <w:tcPr>
            <w:tcW w:w="1469" w:type="dxa"/>
          </w:tcPr>
          <w:p w:rsidR="0083533D" w:rsidP="00003739">
            <w:pPr>
              <w:spacing w:before="0" w:after="0"/>
              <w:jc w:val="right"/>
              <w:rPr>
                <w:rFonts w:ascii="Arial" w:eastAsia="Arial" w:hAnsi="Arial" w:cs="Arial"/>
              </w:rPr>
            </w:pPr>
            <w:bookmarkStart w:id="47" w:name="_LINE__15_c82a440c_3710_4fc5_b87f_7aa96d"/>
            <w:r>
              <w:rPr>
                <w:rFonts w:ascii="Arial" w:eastAsia="Arial" w:hAnsi="Arial" w:cs="Arial"/>
              </w:rPr>
              <w:t>$119,932</w:t>
            </w:r>
            <w:bookmarkEnd w:id="47"/>
          </w:p>
        </w:tc>
        <w:tc>
          <w:tcPr>
            <w:tcW w:w="1469" w:type="dxa"/>
          </w:tcPr>
          <w:p w:rsidR="0083533D" w:rsidP="00003739">
            <w:pPr>
              <w:spacing w:before="0" w:after="0"/>
              <w:jc w:val="right"/>
              <w:rPr>
                <w:rFonts w:ascii="Arial" w:eastAsia="Arial" w:hAnsi="Arial" w:cs="Arial"/>
              </w:rPr>
            </w:pPr>
            <w:bookmarkStart w:id="48" w:name="_LINE__15_d6d85cd7_b31f_47aa_816f_e17207"/>
            <w:r>
              <w:rPr>
                <w:rFonts w:ascii="Arial" w:eastAsia="Arial" w:hAnsi="Arial" w:cs="Arial"/>
              </w:rPr>
              <w:t>$239,061</w:t>
            </w:r>
            <w:bookmarkEnd w:id="48"/>
          </w:p>
        </w:tc>
      </w:tr>
    </w:tbl>
    <w:p w:rsidR="0083533D" w:rsidP="0083533D">
      <w:pPr>
        <w:ind w:left="360"/>
        <w:rPr>
          <w:rFonts w:ascii="Arial" w:eastAsia="Arial" w:hAnsi="Arial" w:cs="Arial"/>
        </w:rPr>
      </w:pPr>
      <w:bookmarkStart w:id="49" w:name="_PAR__6_2f53a192_e0bf_428a_857f_3df58859"/>
      <w:bookmarkEnd w:id="36"/>
      <w:r>
        <w:rPr>
          <w:rFonts w:ascii="Arial" w:eastAsia="Arial" w:hAnsi="Arial" w:cs="Arial"/>
        </w:rPr>
        <w:t>'</w:t>
      </w:r>
    </w:p>
    <w:p w:rsidR="0083533D" w:rsidP="0083533D">
      <w:pPr>
        <w:ind w:left="360" w:firstLine="360"/>
        <w:rPr>
          <w:rFonts w:ascii="Arial" w:eastAsia="Arial" w:hAnsi="Arial" w:cs="Arial"/>
        </w:rPr>
      </w:pPr>
      <w:bookmarkStart w:id="50" w:name="_INSTRUCTION__3574c59a_1463_4245_831c_89"/>
      <w:bookmarkStart w:id="51" w:name="_PAR__7_5f503f28_789c_4401_9fea_d9154e86"/>
      <w:bookmarkEnd w:id="11"/>
      <w:bookmarkEnd w:id="49"/>
      <w:r>
        <w:rPr>
          <w:rFonts w:ascii="Arial" w:eastAsia="Arial" w:hAnsi="Arial" w:cs="Arial"/>
        </w:rPr>
        <w:t>Amend the resolve by relettering or renumbering any nonconsecutive Part letter or section number to read consecutively.</w:t>
      </w:r>
    </w:p>
    <w:p w:rsidR="0083533D" w:rsidP="0083533D">
      <w:pPr>
        <w:keepNext/>
        <w:spacing w:before="240"/>
        <w:ind w:left="360"/>
        <w:jc w:val="center"/>
        <w:rPr>
          <w:rFonts w:ascii="Arial" w:eastAsia="Arial" w:hAnsi="Arial" w:cs="Arial"/>
        </w:rPr>
      </w:pPr>
      <w:bookmarkStart w:id="52" w:name="_SUMMARY__370f157d_d008_446b_9d60_29210a"/>
      <w:bookmarkStart w:id="53" w:name="_PAR__8_d4d58d17_1f20_4276_b521_0fb29240"/>
      <w:bookmarkEnd w:id="50"/>
      <w:bookmarkEnd w:id="51"/>
      <w:r>
        <w:rPr>
          <w:rFonts w:ascii="Arial" w:eastAsia="Arial" w:hAnsi="Arial" w:cs="Arial"/>
          <w:b/>
          <w:sz w:val="24"/>
        </w:rPr>
        <w:t>SUMMARY</w:t>
      </w:r>
    </w:p>
    <w:p w:rsidR="0083533D" w:rsidP="0083533D">
      <w:pPr>
        <w:ind w:left="360" w:firstLine="360"/>
        <w:rPr>
          <w:rFonts w:ascii="Arial" w:eastAsia="Arial" w:hAnsi="Arial" w:cs="Arial"/>
        </w:rPr>
      </w:pPr>
      <w:bookmarkStart w:id="54" w:name="_PAR__9_0329015e_215d_477e_91fe_e564a2d0"/>
      <w:bookmarkEnd w:id="53"/>
      <w:r w:rsidRPr="006C6FC1">
        <w:rPr>
          <w:rFonts w:ascii="Arial" w:eastAsia="Arial" w:hAnsi="Arial" w:cs="Arial"/>
        </w:rPr>
        <w:t>This amendment replaces the resolve.  It doubles the number of hours of reimbursable collateral contacts for children</w:t>
      </w:r>
      <w:r>
        <w:rPr>
          <w:rFonts w:ascii="Arial" w:eastAsia="Arial" w:hAnsi="Arial" w:cs="Arial"/>
        </w:rPr>
        <w:t>'</w:t>
      </w:r>
      <w:r w:rsidRPr="006C6FC1">
        <w:rPr>
          <w:rFonts w:ascii="Arial" w:eastAsia="Arial" w:hAnsi="Arial" w:cs="Arial"/>
        </w:rPr>
        <w:t xml:space="preserve">s home and community-based treatment from 10 hours a year to 20 hours under </w:t>
      </w:r>
      <w:r>
        <w:rPr>
          <w:rFonts w:ascii="Arial" w:eastAsia="Arial" w:hAnsi="Arial" w:cs="Arial"/>
        </w:rPr>
        <w:t xml:space="preserve">Department of Health and Human Services rule </w:t>
      </w:r>
      <w:r w:rsidRPr="006C6FC1">
        <w:rPr>
          <w:rFonts w:ascii="Arial" w:eastAsia="Arial" w:hAnsi="Arial" w:cs="Arial"/>
        </w:rPr>
        <w:t xml:space="preserve">Chapter 101:  MaineCare Benefits Manual, Section 65.  It allows for collateral contacts to be reimbursed if conducted virtually or by telephone, in addition to face-to-face.  The amendment also requires the reimbursement of collateral contacts, in addition to currently allowable care coordination, for 24 hours a year under </w:t>
      </w:r>
      <w:r>
        <w:rPr>
          <w:rFonts w:ascii="Arial" w:eastAsia="Arial" w:hAnsi="Arial" w:cs="Arial"/>
        </w:rPr>
        <w:t xml:space="preserve">rule </w:t>
      </w:r>
      <w:r w:rsidRPr="006C6FC1">
        <w:rPr>
          <w:rFonts w:ascii="Arial" w:eastAsia="Arial" w:hAnsi="Arial" w:cs="Arial"/>
        </w:rPr>
        <w:t xml:space="preserve">Chapter 101:  MaineCare Benefits Manual, Section 28.  It also allows for </w:t>
      </w:r>
      <w:r>
        <w:rPr>
          <w:rFonts w:ascii="Arial" w:eastAsia="Arial" w:hAnsi="Arial" w:cs="Arial"/>
        </w:rPr>
        <w:t>24</w:t>
      </w:r>
      <w:r w:rsidRPr="006C6FC1">
        <w:rPr>
          <w:rFonts w:ascii="Arial" w:eastAsia="Arial" w:hAnsi="Arial" w:cs="Arial"/>
        </w:rPr>
        <w:t xml:space="preserve"> hours of collateral contacts to be conducted face-to-face, virtually or by telephone.</w:t>
      </w:r>
    </w:p>
    <w:p w:rsidR="0083533D" w:rsidP="0083533D">
      <w:pPr>
        <w:keepNext/>
        <w:ind w:left="360" w:firstLine="360"/>
        <w:rPr>
          <w:rFonts w:ascii="Arial" w:eastAsia="Arial" w:hAnsi="Arial" w:cs="Arial"/>
        </w:rPr>
      </w:pPr>
      <w:bookmarkStart w:id="55" w:name="_PAR__10_b9698f9c_8df9_47cb_92c0_4b8f484"/>
      <w:bookmarkEnd w:id="54"/>
      <w:r>
        <w:rPr>
          <w:rFonts w:ascii="Arial" w:eastAsia="Arial" w:hAnsi="Arial" w:cs="Arial"/>
        </w:rPr>
        <w:t>The amendment adds an appropriations and allocations section.</w:t>
      </w:r>
    </w:p>
    <w:p w:rsidR="0083533D" w:rsidP="0083533D">
      <w:pPr>
        <w:keepNext/>
        <w:spacing w:before="60" w:after="60"/>
        <w:ind w:left="360"/>
        <w:jc w:val="center"/>
        <w:rPr>
          <w:rFonts w:ascii="Arial" w:eastAsia="Arial" w:hAnsi="Arial" w:cs="Arial"/>
        </w:rPr>
      </w:pPr>
      <w:bookmarkStart w:id="56" w:name="_FISCAL_NOTE_REQUIRED__3f7a60ae_edf2_473"/>
      <w:bookmarkStart w:id="57" w:name="_PAR__11_6e070db1_a702_4f6d_acdb_8b288ad"/>
      <w:bookmarkEnd w:id="55"/>
      <w:r>
        <w:rPr>
          <w:rFonts w:ascii="Arial" w:eastAsia="Arial" w:hAnsi="Arial" w:cs="Arial"/>
          <w:b/>
        </w:rPr>
        <w:t>FISCAL NOTE REQUIRED</w:t>
      </w:r>
    </w:p>
    <w:p w:rsidR="00000000" w:rsidRPr="0083533D" w:rsidP="0083533D">
      <w:pPr>
        <w:spacing w:before="60" w:after="60"/>
        <w:ind w:left="360"/>
        <w:jc w:val="center"/>
        <w:rPr>
          <w:rFonts w:ascii="Arial" w:eastAsia="Arial" w:hAnsi="Arial" w:cs="Arial"/>
          <w:b/>
        </w:rPr>
      </w:pPr>
      <w:bookmarkStart w:id="58" w:name="_PAR__12_271371a0_d259_48a2_8dad_efa14a0"/>
      <w:bookmarkEnd w:id="57"/>
      <w:r>
        <w:rPr>
          <w:rFonts w:ascii="Arial" w:eastAsia="Arial" w:hAnsi="Arial" w:cs="Arial"/>
          <w:b/>
        </w:rPr>
        <w:t>(See attached)</w:t>
      </w:r>
      <w:bookmarkEnd w:id="20"/>
      <w:bookmarkEnd w:id="52"/>
      <w:bookmarkEnd w:id="56"/>
      <w:bookmarkEnd w:id="58"/>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LR0621,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To Improve Behavioral Health Care for Children</w:t>
    </w:r>
  </w:p>
  <w:p>
    <w:pPr>
      <w:suppressLineNumbers/>
      <w:spacing w:before="0" w:after="0"/>
      <w:jc w:val="center"/>
      <w:rPr>
        <w:rFonts w:ascii="Arial" w:eastAsia="Arial" w:hAnsi="Arial" w:cs="Arial"/>
      </w:rPr>
    </w:pPr>
    <w:r>
      <w:rPr>
        <w:rFonts w:ascii="Arial" w:eastAsia="Arial" w:hAnsi="Arial" w:cs="Arial"/>
        <w:sz w:val="22"/>
      </w:rPr>
      <w:t>L.D. 432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03739"/>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C6FC1"/>
    <w:rsid w:val="006D40C3"/>
    <w:rsid w:val="007D72C8"/>
    <w:rsid w:val="007F3B1E"/>
    <w:rsid w:val="00801F19"/>
    <w:rsid w:val="00806421"/>
    <w:rsid w:val="0083533D"/>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