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the Waste Handling Fee Imposed on the Landfilling of Municipal Solid Waste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180 - L.D. 259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Increase the Waste Handling Fee Imposed on the Landfilling of Municipal Solid Waste</w:t>
      </w:r>
    </w:p>
    <w:p w:rsidR="00EB4A2F" w:rsidP="00EB4A2F">
      <w:pPr>
        <w:ind w:left="360"/>
        <w:rPr>
          <w:rFonts w:ascii="Arial" w:eastAsia="Arial" w:hAnsi="Arial" w:cs="Arial"/>
        </w:rPr>
      </w:pPr>
      <w:bookmarkStart w:id="0" w:name="_ENACTING_CLAUSE__0c6dd0ca_65fb_489f_8c2"/>
      <w:bookmarkStart w:id="1" w:name="_PAR__1_2420ee45_a0c5_4024_a908_ac0387c7"/>
      <w:bookmarkStart w:id="2" w:name="_DOC_BODY_CONTAINER__99aa742b_1b05_4692_"/>
      <w:r>
        <w:rPr>
          <w:rFonts w:ascii="Arial" w:eastAsia="Arial" w:hAnsi="Arial" w:cs="Arial"/>
          <w:b/>
        </w:rPr>
        <w:t>Be it enacted by the People of the State of Maine as follows:</w:t>
      </w:r>
    </w:p>
    <w:p w:rsidR="00EB4A2F" w:rsidP="00EB4A2F">
      <w:pPr>
        <w:ind w:left="360" w:firstLine="360"/>
        <w:rPr>
          <w:rFonts w:ascii="Arial" w:eastAsia="Arial" w:hAnsi="Arial" w:cs="Arial"/>
        </w:rPr>
      </w:pPr>
      <w:bookmarkStart w:id="3" w:name="_BILL_SECTION_HEADER__126cd9f3_5435_4611"/>
      <w:bookmarkStart w:id="4" w:name="_BILL_SECTION__cf602487_2cb1_44d3_962a_3"/>
      <w:bookmarkStart w:id="5" w:name="_INSTRUCTION__3ff575b1_7e07_4a14_8de3_23"/>
      <w:bookmarkStart w:id="6" w:name="_DOC_BODY_CONTENT__f9958a9b_f75b_4168_88"/>
      <w:bookmarkEnd w:id="0"/>
      <w:bookmarkEnd w:id="1"/>
      <w:r>
        <w:rPr>
          <w:rFonts w:ascii="Arial" w:eastAsia="Arial" w:hAnsi="Arial" w:cs="Arial"/>
          <w:b/>
          <w:sz w:val="24"/>
        </w:rPr>
        <w:t xml:space="preserve">Sec. </w:t>
      </w:r>
      <w:bookmarkStart w:id="7" w:name="_BILL_SECTION_NUMBER__76aca2ee_ea78_476d"/>
      <w:r>
        <w:rPr>
          <w:rFonts w:ascii="Arial" w:eastAsia="Arial" w:hAnsi="Arial" w:cs="Arial"/>
          <w:b/>
          <w:sz w:val="24"/>
        </w:rPr>
        <w:t>1</w:t>
      </w:r>
      <w:bookmarkEnd w:id="7"/>
      <w:r>
        <w:rPr>
          <w:rFonts w:ascii="Arial" w:eastAsia="Arial" w:hAnsi="Arial" w:cs="Arial"/>
          <w:b/>
          <w:sz w:val="24"/>
        </w:rPr>
        <w:t>.  38 MRSA §2203-A, sub-§1,</w:t>
      </w:r>
      <w:r>
        <w:rPr>
          <w:rFonts w:ascii="Arial" w:eastAsia="Arial" w:hAnsi="Arial" w:cs="Arial"/>
        </w:rPr>
        <w:t xml:space="preserve"> as amended by PL 2021, c. 230, §1, is further amended to read:</w:t>
      </w:r>
    </w:p>
    <w:p w:rsidR="00EB4A2F" w:rsidP="00EB4A2F">
      <w:pPr>
        <w:ind w:left="360" w:firstLine="360"/>
        <w:rPr>
          <w:rFonts w:ascii="Arial" w:eastAsia="Arial" w:hAnsi="Arial" w:cs="Arial"/>
        </w:rPr>
      </w:pPr>
      <w:bookmarkStart w:id="8" w:name="_STATUTE_NUMBER__b823ce15_1b8a_45d0_91f7"/>
      <w:bookmarkStart w:id="9" w:name="_STATUTE_SS__344aa76f_8068_45ce_9065_06b"/>
      <w:bookmarkEnd w:id="3"/>
      <w:r>
        <w:rPr>
          <w:rFonts w:ascii="Arial" w:eastAsia="Arial" w:hAnsi="Arial" w:cs="Arial"/>
          <w:b/>
        </w:rPr>
        <w:t>1</w:t>
      </w:r>
      <w:bookmarkEnd w:id="8"/>
      <w:r>
        <w:rPr>
          <w:rFonts w:ascii="Arial" w:eastAsia="Arial" w:hAnsi="Arial" w:cs="Arial"/>
          <w:b/>
        </w:rPr>
        <w:t xml:space="preserve">.  </w:t>
      </w:r>
      <w:bookmarkStart w:id="10" w:name="_STATUTE_HEADNOTE__83db8afb_11ba_400f_8e"/>
      <w:r>
        <w:rPr>
          <w:rFonts w:ascii="Arial" w:eastAsia="Arial" w:hAnsi="Arial" w:cs="Arial"/>
          <w:b/>
        </w:rPr>
        <w:t>Fees.</w:t>
      </w:r>
      <w:bookmarkEnd w:id="10"/>
      <w:r>
        <w:rPr>
          <w:rFonts w:ascii="Arial" w:eastAsia="Arial" w:hAnsi="Arial" w:cs="Arial"/>
          <w:b/>
        </w:rPr>
        <w:t xml:space="preserve"> </w:t>
      </w:r>
      <w:r>
        <w:rPr>
          <w:rFonts w:ascii="Arial" w:eastAsia="Arial" w:hAnsi="Arial" w:cs="Arial"/>
        </w:rPr>
        <w:t xml:space="preserve"> </w:t>
      </w:r>
      <w:bookmarkStart w:id="11" w:name="_STATUTE_CONTENT__c04ab5e5_3642_4652_838"/>
      <w:r>
        <w:rPr>
          <w:rFonts w:ascii="Arial" w:eastAsia="Arial" w:hAnsi="Arial" w:cs="Arial"/>
        </w:rPr>
        <w:t>Unless otherwise provided by rule adopted in accordance with subsection 3, fees are imposed in the following amounts to be levied for solid waste that is disposed of at commercial, municipal, state-owned and regional association landfills.</w:t>
      </w:r>
      <w:bookmarkEnd w:id="11"/>
    </w:p>
    <w:tbl>
      <w:tblPr>
        <w:tblStyle w:val="BPSTable"/>
        <w:tblW w:w="0" w:type="dxa"/>
        <w:tblInd w:w="360" w:type="dxa"/>
        <w:tblCellMar>
          <w:left w:w="0" w:type="dxa"/>
          <w:right w:w="0" w:type="dxa"/>
        </w:tblCellMar>
        <w:tblLook w:val="04A0"/>
      </w:tblPr>
      <w:tblGrid>
        <w:gridCol w:w="186"/>
        <w:gridCol w:w="6435"/>
        <w:gridCol w:w="1314"/>
      </w:tblGrid>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bookmarkStart w:id="12" w:name="_STATUTE_CONTENT__d8f37e67_8b11_4d92_a2a"/>
            <w:bookmarkStart w:id="13" w:name="_STATUTE_P__df861e77_2c06_46de_b1c3_21cb"/>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Asbestos</w:t>
            </w:r>
          </w:p>
        </w:tc>
        <w:tc>
          <w:tcPr>
            <w:tcW w:w="1454" w:type="dxa"/>
          </w:tcPr>
          <w:p w:rsidR="00EB4A2F" w:rsidP="006216DE">
            <w:pPr>
              <w:jc w:val="right"/>
              <w:rPr>
                <w:rFonts w:ascii="Arial" w:eastAsia="Arial" w:hAnsi="Arial" w:cs="Arial"/>
              </w:rPr>
            </w:pPr>
            <w:r>
              <w:rPr>
                <w:rFonts w:ascii="Arial" w:eastAsia="Arial" w:hAnsi="Arial" w:cs="Arial"/>
              </w:rPr>
              <w:t>$5 per cubic yard</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Oil-contaminated soil, gravel, brick, concrete and other aggregate</w:t>
            </w:r>
          </w:p>
        </w:tc>
        <w:tc>
          <w:tcPr>
            <w:tcW w:w="1454" w:type="dxa"/>
          </w:tcPr>
          <w:p w:rsidR="00EB4A2F" w:rsidP="006216DE">
            <w:pPr>
              <w:jc w:val="right"/>
              <w:rPr>
                <w:rFonts w:ascii="Arial" w:eastAsia="Arial" w:hAnsi="Arial" w:cs="Arial"/>
              </w:rPr>
            </w:pPr>
            <w:r>
              <w:rPr>
                <w:rFonts w:ascii="Arial" w:eastAsia="Arial" w:hAnsi="Arial" w:cs="Arial"/>
              </w:rPr>
              <w:t>$25 per ton</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Waste water facility sludge</w:t>
            </w:r>
          </w:p>
        </w:tc>
        <w:tc>
          <w:tcPr>
            <w:tcW w:w="1454" w:type="dxa"/>
          </w:tcPr>
          <w:p w:rsidR="00EB4A2F" w:rsidP="006216DE">
            <w:pPr>
              <w:jc w:val="right"/>
              <w:rPr>
                <w:rFonts w:ascii="Arial" w:eastAsia="Arial" w:hAnsi="Arial" w:cs="Arial"/>
              </w:rPr>
            </w:pPr>
            <w:r>
              <w:rPr>
                <w:rFonts w:ascii="Arial" w:eastAsia="Arial" w:hAnsi="Arial" w:cs="Arial"/>
              </w:rPr>
              <w:t>$5 per ton</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Ash, coal and oil</w:t>
            </w:r>
          </w:p>
        </w:tc>
        <w:tc>
          <w:tcPr>
            <w:tcW w:w="1454" w:type="dxa"/>
          </w:tcPr>
          <w:p w:rsidR="00EB4A2F" w:rsidP="006216DE">
            <w:pPr>
              <w:jc w:val="right"/>
              <w:rPr>
                <w:rFonts w:ascii="Arial" w:eastAsia="Arial" w:hAnsi="Arial" w:cs="Arial"/>
              </w:rPr>
            </w:pPr>
            <w:r>
              <w:rPr>
                <w:rFonts w:ascii="Arial" w:eastAsia="Arial" w:hAnsi="Arial" w:cs="Arial"/>
              </w:rPr>
              <w:t>$5 per ton</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Paper mill sludge</w:t>
            </w:r>
          </w:p>
        </w:tc>
        <w:tc>
          <w:tcPr>
            <w:tcW w:w="1454" w:type="dxa"/>
          </w:tcPr>
          <w:p w:rsidR="00EB4A2F" w:rsidP="006216DE">
            <w:pPr>
              <w:jc w:val="right"/>
              <w:rPr>
                <w:rFonts w:ascii="Arial" w:eastAsia="Arial" w:hAnsi="Arial" w:cs="Arial"/>
              </w:rPr>
            </w:pPr>
            <w:r>
              <w:rPr>
                <w:rFonts w:ascii="Arial" w:eastAsia="Arial" w:hAnsi="Arial" w:cs="Arial"/>
              </w:rPr>
              <w:t>$5 per ton</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Industrial waste</w:t>
            </w:r>
          </w:p>
        </w:tc>
        <w:tc>
          <w:tcPr>
            <w:tcW w:w="1454" w:type="dxa"/>
          </w:tcPr>
          <w:p w:rsidR="00EB4A2F" w:rsidP="006216DE">
            <w:pPr>
              <w:jc w:val="right"/>
              <w:rPr>
                <w:rFonts w:ascii="Arial" w:eastAsia="Arial" w:hAnsi="Arial" w:cs="Arial"/>
              </w:rPr>
            </w:pPr>
            <w:r>
              <w:rPr>
                <w:rFonts w:ascii="Arial" w:eastAsia="Arial" w:hAnsi="Arial" w:cs="Arial"/>
              </w:rPr>
              <w:t>$5 per ton</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Sandblast grit</w:t>
            </w:r>
          </w:p>
        </w:tc>
        <w:tc>
          <w:tcPr>
            <w:tcW w:w="1454" w:type="dxa"/>
          </w:tcPr>
          <w:p w:rsidR="00EB4A2F" w:rsidP="006216DE">
            <w:pPr>
              <w:jc w:val="right"/>
              <w:rPr>
                <w:rFonts w:ascii="Arial" w:eastAsia="Arial" w:hAnsi="Arial" w:cs="Arial"/>
              </w:rPr>
            </w:pPr>
            <w:r>
              <w:rPr>
                <w:rFonts w:ascii="Arial" w:eastAsia="Arial" w:hAnsi="Arial" w:cs="Arial"/>
              </w:rPr>
              <w:t>$5 per ton</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All other special waste</w:t>
            </w:r>
          </w:p>
        </w:tc>
        <w:tc>
          <w:tcPr>
            <w:tcW w:w="1454" w:type="dxa"/>
          </w:tcPr>
          <w:p w:rsidR="00EB4A2F" w:rsidP="006216DE">
            <w:pPr>
              <w:jc w:val="right"/>
              <w:rPr>
                <w:rFonts w:ascii="Arial" w:eastAsia="Arial" w:hAnsi="Arial" w:cs="Arial"/>
              </w:rPr>
            </w:pPr>
            <w:r>
              <w:rPr>
                <w:rFonts w:ascii="Arial" w:eastAsia="Arial" w:hAnsi="Arial" w:cs="Arial"/>
              </w:rPr>
              <w:t>$5 per ton</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Municipal solid waste or municipal solid waste ash</w:t>
            </w:r>
          </w:p>
        </w:tc>
        <w:tc>
          <w:tcPr>
            <w:tcW w:w="1454" w:type="dxa"/>
          </w:tcPr>
          <w:p w:rsidR="00EB4A2F" w:rsidP="006216DE">
            <w:pPr>
              <w:jc w:val="right"/>
              <w:rPr>
                <w:rFonts w:ascii="Arial" w:eastAsia="Arial" w:hAnsi="Arial" w:cs="Arial"/>
              </w:rPr>
            </w:pPr>
            <w:bookmarkStart w:id="14" w:name="_REV__5779636e_8d22_4e6d_918f_c481027132"/>
            <w:bookmarkStart w:id="15" w:name="_PROCESSED_CHANGE__1f1819c2_cc6d_4c07_91"/>
            <w:r>
              <w:rPr>
                <w:rFonts w:ascii="Arial" w:eastAsia="Arial" w:hAnsi="Arial" w:cs="Arial"/>
                <w:strike/>
              </w:rPr>
              <w:t>$1</w:t>
            </w:r>
            <w:r>
              <w:rPr>
                <w:rFonts w:ascii="Arial" w:eastAsia="Arial" w:hAnsi="Arial" w:cs="Arial"/>
              </w:rPr>
              <w:t xml:space="preserve"> </w:t>
            </w:r>
            <w:bookmarkStart w:id="16" w:name="_REV__5c249da0_74e5_4724_945b_2bd032d893"/>
            <w:bookmarkStart w:id="17" w:name="_PROCESSED_CHANGE__98b60ae3_7dbc_42e1_8d"/>
            <w:bookmarkEnd w:id="14"/>
            <w:bookmarkEnd w:id="15"/>
            <w:r>
              <w:rPr>
                <w:rFonts w:ascii="Arial" w:eastAsia="Arial" w:hAnsi="Arial" w:cs="Arial"/>
                <w:u w:val="single"/>
              </w:rPr>
              <w:t>$2</w:t>
            </w:r>
            <w:r>
              <w:rPr>
                <w:rFonts w:ascii="Arial" w:eastAsia="Arial" w:hAnsi="Arial" w:cs="Arial"/>
              </w:rPr>
              <w:t xml:space="preserve"> </w:t>
            </w:r>
            <w:bookmarkEnd w:id="16"/>
            <w:bookmarkEnd w:id="17"/>
            <w:r>
              <w:rPr>
                <w:rFonts w:ascii="Arial" w:eastAsia="Arial" w:hAnsi="Arial" w:cs="Arial"/>
              </w:rPr>
              <w:t>per ton</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rPr>
                <w:rFonts w:ascii="Arial" w:eastAsia="Arial" w:hAnsi="Arial" w:cs="Arial"/>
              </w:rPr>
            </w:pPr>
            <w:r>
              <w:rPr>
                <w:rFonts w:ascii="Arial" w:eastAsia="Arial" w:hAnsi="Arial" w:cs="Arial"/>
              </w:rPr>
              <w:t>Front end process residue (FEPR)</w:t>
            </w:r>
          </w:p>
        </w:tc>
        <w:tc>
          <w:tcPr>
            <w:tcW w:w="1454" w:type="dxa"/>
          </w:tcPr>
          <w:p w:rsidR="00EB4A2F" w:rsidP="006216DE">
            <w:pPr>
              <w:jc w:val="right"/>
              <w:rPr>
                <w:rFonts w:ascii="Arial" w:eastAsia="Arial" w:hAnsi="Arial" w:cs="Arial"/>
              </w:rPr>
            </w:pPr>
            <w:r>
              <w:rPr>
                <w:rFonts w:ascii="Arial" w:eastAsia="Arial" w:hAnsi="Arial" w:cs="Arial"/>
              </w:rPr>
              <w:t>$1 per ton</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 xml:space="preserve"> </w:t>
            </w:r>
          </w:p>
        </w:tc>
        <w:tc>
          <w:tcPr>
            <w:tcW w:w="1454" w:type="dxa"/>
          </w:tcPr>
          <w:p w:rsidR="00EB4A2F" w:rsidP="006216DE">
            <w:pPr>
              <w:jc w:val="both"/>
              <w:rPr>
                <w:rFonts w:ascii="Arial" w:eastAsia="Arial" w:hAnsi="Arial" w:cs="Arial"/>
              </w:rPr>
            </w:pPr>
            <w:r>
              <w:rPr>
                <w:rFonts w:ascii="Arial" w:eastAsia="Arial" w:hAnsi="Arial" w:cs="Arial"/>
              </w:rPr>
              <w:t xml:space="preserve"> </w:t>
            </w:r>
          </w:p>
        </w:tc>
      </w:tr>
      <w:tr w:rsidTr="006216DE">
        <w:tblPrEx>
          <w:tblW w:w="0" w:type="dxa"/>
          <w:tblInd w:w="360" w:type="dxa"/>
          <w:tblCellMar>
            <w:left w:w="0" w:type="dxa"/>
            <w:right w:w="0" w:type="dxa"/>
          </w:tblCellMar>
          <w:tblLook w:val="04A0"/>
        </w:tblPrEx>
        <w:tc>
          <w:tcPr>
            <w:tcW w:w="216" w:type="dxa"/>
          </w:tcPr>
          <w:p w:rsidR="00EB4A2F" w:rsidP="006216DE">
            <w:pPr>
              <w:jc w:val="both"/>
              <w:rPr>
                <w:rFonts w:ascii="Arial" w:eastAsia="Arial" w:hAnsi="Arial" w:cs="Arial"/>
              </w:rPr>
            </w:pPr>
            <w:r>
              <w:rPr>
                <w:rFonts w:ascii="Arial" w:eastAsia="Arial" w:hAnsi="Arial" w:cs="Arial"/>
              </w:rPr>
              <w:t xml:space="preserve"> </w:t>
            </w:r>
          </w:p>
        </w:tc>
        <w:tc>
          <w:tcPr>
            <w:tcW w:w="7315" w:type="dxa"/>
          </w:tcPr>
          <w:p w:rsidR="00EB4A2F" w:rsidP="006216DE">
            <w:pPr>
              <w:jc w:val="both"/>
              <w:rPr>
                <w:rFonts w:ascii="Arial" w:eastAsia="Arial" w:hAnsi="Arial" w:cs="Arial"/>
              </w:rPr>
            </w:pPr>
            <w:r>
              <w:rPr>
                <w:rFonts w:ascii="Arial" w:eastAsia="Arial" w:hAnsi="Arial" w:cs="Arial"/>
              </w:rPr>
              <w:t>Construction and demolition debris and residue from the processing of construction and demolition debris</w:t>
            </w:r>
          </w:p>
        </w:tc>
        <w:tc>
          <w:tcPr>
            <w:tcW w:w="1454" w:type="dxa"/>
          </w:tcPr>
          <w:p w:rsidR="00EB4A2F" w:rsidP="006216DE">
            <w:pPr>
              <w:jc w:val="right"/>
              <w:rPr>
                <w:rFonts w:ascii="Arial" w:eastAsia="Arial" w:hAnsi="Arial" w:cs="Arial"/>
              </w:rPr>
            </w:pPr>
            <w:r>
              <w:rPr>
                <w:rFonts w:ascii="Arial" w:eastAsia="Arial" w:hAnsi="Arial" w:cs="Arial"/>
              </w:rPr>
              <w:t>$2 per ton</w:t>
            </w:r>
          </w:p>
        </w:tc>
      </w:tr>
    </w:tbl>
    <w:p w:rsidR="00EB4A2F" w:rsidP="00EB4A2F">
      <w:pPr>
        <w:ind w:left="360" w:firstLine="360"/>
        <w:rPr>
          <w:rFonts w:ascii="Arial" w:eastAsia="Arial" w:hAnsi="Arial" w:cs="Arial"/>
        </w:rPr>
      </w:pPr>
      <w:bookmarkStart w:id="18" w:name="_APPROP_SECTION__c4aa1a29_a4d0_4727_8645"/>
      <w:bookmarkEnd w:id="4"/>
      <w:bookmarkEnd w:id="9"/>
      <w:bookmarkEnd w:id="12"/>
      <w:bookmarkEnd w:id="13"/>
      <w:r>
        <w:rPr>
          <w:rFonts w:ascii="Arial" w:eastAsia="Arial" w:hAnsi="Arial" w:cs="Arial"/>
          <w:b/>
          <w:sz w:val="24"/>
        </w:rPr>
        <w:t xml:space="preserve">Sec. </w:t>
      </w:r>
      <w:bookmarkStart w:id="19" w:name="_BILL_SECTION_NUMBER__bd36ea88_7e42_4a39"/>
      <w:r>
        <w:rPr>
          <w:rFonts w:ascii="Arial" w:eastAsia="Arial" w:hAnsi="Arial" w:cs="Arial"/>
          <w:b/>
          <w:sz w:val="24"/>
        </w:rPr>
        <w:t>2</w:t>
      </w:r>
      <w:bookmarkEnd w:id="19"/>
      <w:r>
        <w:rPr>
          <w:rFonts w:ascii="Arial" w:eastAsia="Arial" w:hAnsi="Arial" w:cs="Arial"/>
          <w:b/>
          <w:sz w:val="24"/>
        </w:rPr>
        <w:t>.  Appropriations and allocations.</w:t>
      </w:r>
      <w:r>
        <w:rPr>
          <w:rFonts w:ascii="Arial" w:eastAsia="Arial" w:hAnsi="Arial" w:cs="Arial"/>
        </w:rPr>
        <w:t>  The following appropriations and allocations are made.</w:t>
      </w:r>
    </w:p>
    <w:p w:rsidR="00EB4A2F" w:rsidP="00EB4A2F">
      <w:pPr>
        <w:pStyle w:val="BPSParagraphLeftAlign"/>
        <w:suppressAutoHyphens/>
        <w:ind w:left="360"/>
        <w:rPr>
          <w:rFonts w:ascii="Arial" w:eastAsia="Arial" w:hAnsi="Arial" w:cs="Arial"/>
        </w:rPr>
      </w:pPr>
      <w:r>
        <w:rPr>
          <w:rFonts w:ascii="Arial" w:eastAsia="Arial" w:hAnsi="Arial" w:cs="Arial"/>
          <w:b/>
        </w:rPr>
        <w:t>ENVIRONMENTAL PROTECTION, DEPARTMENT OF</w:t>
      </w:r>
    </w:p>
    <w:p w:rsidR="00EB4A2F" w:rsidP="00EB4A2F">
      <w:pPr>
        <w:pStyle w:val="BPSParagraphLeftAlign"/>
        <w:suppressAutoHyphens/>
        <w:ind w:left="360"/>
        <w:rPr>
          <w:rFonts w:ascii="Arial" w:eastAsia="Arial" w:hAnsi="Arial" w:cs="Arial"/>
        </w:rPr>
      </w:pPr>
      <w:r>
        <w:rPr>
          <w:rFonts w:ascii="Arial" w:eastAsia="Arial" w:hAnsi="Arial" w:cs="Arial"/>
          <w:b/>
        </w:rPr>
        <w:t>Remediation and Waste Management 0247</w:t>
      </w:r>
    </w:p>
    <w:p w:rsidR="00EB4A2F" w:rsidP="00EB4A2F">
      <w:pPr>
        <w:ind w:left="360"/>
        <w:rPr>
          <w:rFonts w:ascii="Arial" w:eastAsia="Arial" w:hAnsi="Arial" w:cs="Arial"/>
        </w:rPr>
      </w:pPr>
      <w:r>
        <w:rPr>
          <w:rFonts w:ascii="Arial" w:eastAsia="Arial" w:hAnsi="Arial" w:cs="Arial"/>
        </w:rPr>
        <w:t>Initiative: Provides allocation to allow for the expenditure of additional revenue for administrative expenses and actions necessary to abate threats to public health, safety and welfare posed by the disposal of solid waste and to pay municipalities under the closure and remediation cost-sharing program for solid waste landfills.</w:t>
      </w:r>
    </w:p>
    <w:tbl>
      <w:tblPr>
        <w:tblStyle w:val="BPSTable"/>
        <w:tblW w:w="0" w:type="auto"/>
        <w:tblInd w:w="360" w:type="dxa"/>
        <w:tblCellMar>
          <w:left w:w="0" w:type="dxa"/>
          <w:right w:w="0" w:type="dxa"/>
        </w:tblCellMar>
        <w:tblLook w:val="04A0"/>
      </w:tblPr>
      <w:tblGrid>
        <w:gridCol w:w="5009"/>
        <w:gridCol w:w="1463"/>
        <w:gridCol w:w="1463"/>
      </w:tblGrid>
      <w:tr w:rsidTr="006216DE">
        <w:tblPrEx>
          <w:tblW w:w="0" w:type="auto"/>
          <w:tblInd w:w="360" w:type="dxa"/>
          <w:tblCellMar>
            <w:left w:w="0" w:type="dxa"/>
            <w:right w:w="0" w:type="dxa"/>
          </w:tblCellMar>
          <w:tblLook w:val="04A0"/>
        </w:tblPrEx>
        <w:tc>
          <w:tcPr>
            <w:tcW w:w="5069" w:type="dxa"/>
          </w:tcPr>
          <w:p w:rsidR="00EB4A2F" w:rsidP="006216DE">
            <w:pPr>
              <w:rPr>
                <w:rFonts w:ascii="Arial" w:eastAsia="Arial" w:hAnsi="Arial" w:cs="Arial"/>
              </w:rPr>
            </w:pPr>
            <w:r>
              <w:rPr>
                <w:rFonts w:ascii="Arial" w:eastAsia="Arial" w:hAnsi="Arial" w:cs="Arial"/>
                <w:b/>
              </w:rPr>
              <w:t>OTHER SPECIAL REVENUE FUNDS</w:t>
            </w:r>
          </w:p>
        </w:tc>
        <w:tc>
          <w:tcPr>
            <w:tcW w:w="1469" w:type="dxa"/>
          </w:tcPr>
          <w:p w:rsidR="00EB4A2F" w:rsidP="006216DE">
            <w:pPr>
              <w:jc w:val="right"/>
              <w:rPr>
                <w:rFonts w:ascii="Arial" w:eastAsia="Arial" w:hAnsi="Arial" w:cs="Arial"/>
              </w:rPr>
            </w:pPr>
            <w:r>
              <w:rPr>
                <w:rFonts w:ascii="Arial" w:eastAsia="Arial" w:hAnsi="Arial" w:cs="Arial"/>
                <w:b/>
              </w:rPr>
              <w:t>2021-22</w:t>
            </w:r>
          </w:p>
        </w:tc>
        <w:tc>
          <w:tcPr>
            <w:tcW w:w="1469" w:type="dxa"/>
          </w:tcPr>
          <w:p w:rsidR="00EB4A2F" w:rsidP="006216DE">
            <w:pPr>
              <w:jc w:val="right"/>
              <w:rPr>
                <w:rFonts w:ascii="Arial" w:eastAsia="Arial" w:hAnsi="Arial" w:cs="Arial"/>
              </w:rPr>
            </w:pPr>
            <w:r>
              <w:rPr>
                <w:rFonts w:ascii="Arial" w:eastAsia="Arial" w:hAnsi="Arial" w:cs="Arial"/>
                <w:b/>
              </w:rPr>
              <w:t>2022-23</w:t>
            </w:r>
          </w:p>
        </w:tc>
      </w:tr>
      <w:tr w:rsidTr="006216DE">
        <w:tblPrEx>
          <w:tblW w:w="0" w:type="auto"/>
          <w:tblInd w:w="360" w:type="dxa"/>
          <w:tblCellMar>
            <w:left w:w="0" w:type="dxa"/>
            <w:right w:w="0" w:type="dxa"/>
          </w:tblCellMar>
          <w:tblLook w:val="04A0"/>
        </w:tblPrEx>
        <w:tc>
          <w:tcPr>
            <w:tcW w:w="5069" w:type="dxa"/>
          </w:tcPr>
          <w:p w:rsidR="00EB4A2F" w:rsidP="006216DE">
            <w:pPr>
              <w:ind w:left="180"/>
              <w:rPr>
                <w:rFonts w:ascii="Arial" w:eastAsia="Arial" w:hAnsi="Arial" w:cs="Arial"/>
              </w:rPr>
            </w:pPr>
            <w:r>
              <w:rPr>
                <w:rFonts w:ascii="Arial" w:eastAsia="Arial" w:hAnsi="Arial" w:cs="Arial"/>
              </w:rPr>
              <w:t>All Other</w:t>
            </w:r>
          </w:p>
        </w:tc>
        <w:tc>
          <w:tcPr>
            <w:tcW w:w="1469" w:type="dxa"/>
          </w:tcPr>
          <w:p w:rsidR="00EB4A2F" w:rsidP="006216DE">
            <w:pPr>
              <w:jc w:val="right"/>
              <w:rPr>
                <w:rFonts w:ascii="Arial" w:eastAsia="Arial" w:hAnsi="Arial" w:cs="Arial"/>
              </w:rPr>
            </w:pPr>
            <w:r>
              <w:rPr>
                <w:rFonts w:ascii="Arial" w:eastAsia="Arial" w:hAnsi="Arial" w:cs="Arial"/>
              </w:rPr>
              <w:t>$0</w:t>
            </w:r>
          </w:p>
        </w:tc>
        <w:tc>
          <w:tcPr>
            <w:tcW w:w="1469" w:type="dxa"/>
          </w:tcPr>
          <w:p w:rsidR="00EB4A2F" w:rsidP="006216DE">
            <w:pPr>
              <w:jc w:val="right"/>
              <w:rPr>
                <w:rFonts w:ascii="Arial" w:eastAsia="Arial" w:hAnsi="Arial" w:cs="Arial"/>
              </w:rPr>
            </w:pPr>
            <w:r>
              <w:rPr>
                <w:rFonts w:ascii="Arial" w:eastAsia="Arial" w:hAnsi="Arial" w:cs="Arial"/>
              </w:rPr>
              <w:t>$796,000</w:t>
            </w:r>
          </w:p>
        </w:tc>
      </w:tr>
      <w:tr w:rsidTr="006216DE">
        <w:tblPrEx>
          <w:tblW w:w="0" w:type="auto"/>
          <w:tblInd w:w="360" w:type="dxa"/>
          <w:tblCellMar>
            <w:left w:w="0" w:type="dxa"/>
            <w:right w:w="0" w:type="dxa"/>
          </w:tblCellMar>
          <w:tblLook w:val="04A0"/>
        </w:tblPrEx>
        <w:tc>
          <w:tcPr>
            <w:tcW w:w="5069" w:type="dxa"/>
          </w:tcPr>
          <w:p w:rsidR="00EB4A2F" w:rsidP="006216DE">
            <w:pPr>
              <w:rPr>
                <w:rFonts w:ascii="Arial" w:eastAsia="Arial" w:hAnsi="Arial" w:cs="Arial"/>
              </w:rPr>
            </w:pPr>
            <w:r>
              <w:rPr>
                <w:rFonts w:ascii="Arial" w:eastAsia="Arial" w:hAnsi="Arial" w:cs="Arial"/>
              </w:rPr>
              <w:t xml:space="preserve"> </w:t>
            </w:r>
          </w:p>
        </w:tc>
        <w:tc>
          <w:tcPr>
            <w:tcW w:w="1469" w:type="dxa"/>
          </w:tcPr>
          <w:p w:rsidR="00EB4A2F" w:rsidP="006216DE">
            <w:pPr>
              <w:jc w:val="right"/>
              <w:rPr>
                <w:rFonts w:ascii="Arial" w:eastAsia="Arial" w:hAnsi="Arial" w:cs="Arial"/>
              </w:rPr>
            </w:pPr>
            <w:r>
              <w:rPr>
                <w:rFonts w:ascii="Arial" w:eastAsia="Arial" w:hAnsi="Arial" w:cs="Arial"/>
              </w:rPr>
              <w:t>__________</w:t>
            </w:r>
          </w:p>
        </w:tc>
        <w:tc>
          <w:tcPr>
            <w:tcW w:w="1469" w:type="dxa"/>
          </w:tcPr>
          <w:p w:rsidR="00EB4A2F" w:rsidP="006216DE">
            <w:pPr>
              <w:jc w:val="right"/>
              <w:rPr>
                <w:rFonts w:ascii="Arial" w:eastAsia="Arial" w:hAnsi="Arial" w:cs="Arial"/>
              </w:rPr>
            </w:pPr>
            <w:r>
              <w:rPr>
                <w:rFonts w:ascii="Arial" w:eastAsia="Arial" w:hAnsi="Arial" w:cs="Arial"/>
              </w:rPr>
              <w:t>__________</w:t>
            </w:r>
          </w:p>
        </w:tc>
      </w:tr>
      <w:tr w:rsidTr="006216DE">
        <w:tblPrEx>
          <w:tblW w:w="0" w:type="auto"/>
          <w:tblInd w:w="360" w:type="dxa"/>
          <w:tblCellMar>
            <w:left w:w="0" w:type="dxa"/>
            <w:right w:w="0" w:type="dxa"/>
          </w:tblCellMar>
          <w:tblLook w:val="04A0"/>
        </w:tblPrEx>
        <w:tc>
          <w:tcPr>
            <w:tcW w:w="5069" w:type="dxa"/>
          </w:tcPr>
          <w:p w:rsidR="00EB4A2F" w:rsidP="006216DE">
            <w:pPr>
              <w:rPr>
                <w:rFonts w:ascii="Arial" w:eastAsia="Arial" w:hAnsi="Arial" w:cs="Arial"/>
              </w:rPr>
            </w:pPr>
            <w:r>
              <w:rPr>
                <w:rFonts w:ascii="Arial" w:eastAsia="Arial" w:hAnsi="Arial" w:cs="Arial"/>
              </w:rPr>
              <w:t>OTHER SPECIAL REVENUE FUNDS TOTAL</w:t>
            </w:r>
          </w:p>
        </w:tc>
        <w:tc>
          <w:tcPr>
            <w:tcW w:w="1469" w:type="dxa"/>
          </w:tcPr>
          <w:p w:rsidR="00EB4A2F" w:rsidP="006216DE">
            <w:pPr>
              <w:jc w:val="right"/>
              <w:rPr>
                <w:rFonts w:ascii="Arial" w:eastAsia="Arial" w:hAnsi="Arial" w:cs="Arial"/>
              </w:rPr>
            </w:pPr>
            <w:r>
              <w:rPr>
                <w:rFonts w:ascii="Arial" w:eastAsia="Arial" w:hAnsi="Arial" w:cs="Arial"/>
              </w:rPr>
              <w:t>$0</w:t>
            </w:r>
          </w:p>
        </w:tc>
        <w:tc>
          <w:tcPr>
            <w:tcW w:w="1469" w:type="dxa"/>
          </w:tcPr>
          <w:p w:rsidR="00EB4A2F" w:rsidP="006216DE">
            <w:pPr>
              <w:jc w:val="right"/>
              <w:rPr>
                <w:rFonts w:ascii="Arial" w:eastAsia="Arial" w:hAnsi="Arial" w:cs="Arial"/>
              </w:rPr>
            </w:pPr>
            <w:r>
              <w:rPr>
                <w:rFonts w:ascii="Arial" w:eastAsia="Arial" w:hAnsi="Arial" w:cs="Arial"/>
              </w:rPr>
              <w:t>$796,000</w:t>
            </w:r>
          </w:p>
        </w:tc>
      </w:tr>
      <w:bookmarkEnd w:id="2"/>
      <w:bookmarkEnd w:id="5"/>
      <w:bookmarkEnd w:id="6"/>
      <w:bookmarkEnd w:id="18"/>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LR0886,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Increase the Waste Handling Fee Imposed on the Landfilling of Municipal Solid Waste</w:t>
    </w:r>
  </w:p>
  <w:p>
    <w:pPr>
      <w:suppressLineNumbers/>
      <w:spacing w:before="0" w:after="0"/>
      <w:jc w:val="center"/>
      <w:rPr>
        <w:rFonts w:ascii="Arial" w:eastAsia="Arial" w:hAnsi="Arial" w:cs="Arial"/>
      </w:rPr>
    </w:pPr>
    <w:r>
      <w:rPr>
        <w:rFonts w:ascii="Arial" w:eastAsia="Arial" w:hAnsi="Arial" w:cs="Arial"/>
        <w:sz w:val="22"/>
      </w:rPr>
      <w:t>L.D. 259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216DE"/>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4A2F"/>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