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Adult Use Cannabis Testing</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603 - L.D. 1488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Adult Use Cannabis Testing</w:t>
      </w:r>
    </w:p>
    <w:p w:rsidR="007176F7" w:rsidP="007176F7">
      <w:pPr>
        <w:ind w:left="360" w:firstLine="360"/>
        <w:rPr>
          <w:rFonts w:ascii="Arial" w:eastAsia="Arial" w:hAnsi="Arial" w:cs="Arial"/>
        </w:rPr>
      </w:pPr>
      <w:bookmarkStart w:id="0" w:name="_EMERGENCY_PREAMBLE__ae654f4b_579e_4b78_"/>
      <w:bookmarkStart w:id="1" w:name="_INSTRUCTION__ca771ef1_ad2d_4de3_9c48_fd"/>
      <w:bookmarkStart w:id="2" w:name="_DOC_BODY_CONTAINER__dc7e41e7_7188_471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7176F7" w:rsidP="007176F7">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certain additional testing requirements, which this legislation removes, result in a significant financial burden on certain adult use cannabis businesses that have already performed required testing on the adult use cannabis or adult use cannabis product; and</w:t>
      </w:r>
    </w:p>
    <w:p w:rsidR="007176F7" w:rsidP="007176F7">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the Legislature considered this issue in the prior legislative session, but a final resolution was unable to be determined at that time; and</w:t>
      </w:r>
    </w:p>
    <w:p w:rsidR="007176F7" w:rsidRPr="00C33D78" w:rsidP="007176F7">
      <w:pPr>
        <w:ind w:left="360" w:firstLine="360"/>
        <w:rPr>
          <w:rFonts w:ascii="Arial" w:eastAsia="Arial" w:hAnsi="Arial" w:cs="Arial"/>
        </w:rPr>
      </w:pPr>
      <w:r>
        <w:rPr>
          <w:rFonts w:ascii="Arial" w:eastAsia="Arial" w:hAnsi="Arial" w:cs="Arial"/>
          <w:b/>
          <w:sz w:val="24"/>
        </w:rPr>
        <w:t>Whereas,</w:t>
      </w:r>
      <w:r>
        <w:rPr>
          <w:rFonts w:ascii="Arial" w:eastAsia="Arial" w:hAnsi="Arial" w:cs="Arial"/>
          <w:szCs w:val="22"/>
        </w:rPr>
        <w:t xml:space="preserve"> the Legislature has determined that it is necessary to provide more immediate relief to those affected; and</w:t>
      </w:r>
    </w:p>
    <w:p w:rsidR="007176F7" w:rsidP="007176F7">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7176F7" w:rsidP="007176F7">
      <w:pPr>
        <w:ind w:left="360"/>
        <w:rPr>
          <w:rFonts w:ascii="Arial" w:eastAsia="Arial" w:hAnsi="Arial" w:cs="Arial"/>
        </w:rPr>
      </w:pPr>
      <w:bookmarkStart w:id="3" w:name="_ENACTING_CLAUSE__18943e8b_69d7_44e4_b54"/>
      <w:bookmarkStart w:id="4" w:name="_PAR__1_8bfc5ece_8503_4d0d_be2a_0cb4beec"/>
      <w:bookmarkEnd w:id="0"/>
      <w:bookmarkEnd w:id="1"/>
      <w:r>
        <w:rPr>
          <w:rFonts w:ascii="Arial" w:eastAsia="Arial" w:hAnsi="Arial" w:cs="Arial"/>
          <w:b/>
        </w:rPr>
        <w:t>Be it enacted by the People of the State of Maine as follows:</w:t>
      </w:r>
    </w:p>
    <w:p w:rsidR="007176F7" w:rsidP="007176F7">
      <w:pPr>
        <w:ind w:left="360" w:firstLine="360"/>
        <w:rPr>
          <w:rFonts w:ascii="Arial" w:eastAsia="Arial" w:hAnsi="Arial" w:cs="Arial"/>
        </w:rPr>
      </w:pPr>
      <w:bookmarkStart w:id="5" w:name="_BILL_SECTION_HEADER__ef136089_d906_49d3"/>
      <w:bookmarkStart w:id="6" w:name="_BILL_SECTION__2d1b5d75_c2be_4b1d_ace1_1"/>
      <w:bookmarkStart w:id="7" w:name="_INSTRUCTION__a443034f_0fe9_4ffe_b8ef_1f"/>
      <w:bookmarkStart w:id="8" w:name="_DOC_BODY_CONTENT__fc006a39_b718_43c9_9e"/>
      <w:bookmarkEnd w:id="3"/>
      <w:bookmarkEnd w:id="4"/>
      <w:r>
        <w:rPr>
          <w:rFonts w:ascii="Arial" w:eastAsia="Arial" w:hAnsi="Arial" w:cs="Arial"/>
          <w:b/>
          <w:sz w:val="24"/>
        </w:rPr>
        <w:t xml:space="preserve">Sec. </w:t>
      </w:r>
      <w:bookmarkStart w:id="9" w:name="_BILL_SECTION_NUMBER__6ae5767d_e037_467d"/>
      <w:r>
        <w:rPr>
          <w:rFonts w:ascii="Arial" w:eastAsia="Arial" w:hAnsi="Arial" w:cs="Arial"/>
          <w:b/>
          <w:sz w:val="24"/>
        </w:rPr>
        <w:t>1</w:t>
      </w:r>
      <w:bookmarkEnd w:id="9"/>
      <w:r>
        <w:rPr>
          <w:rFonts w:ascii="Arial" w:eastAsia="Arial" w:hAnsi="Arial" w:cs="Arial"/>
          <w:b/>
          <w:sz w:val="24"/>
        </w:rPr>
        <w:t>.  28-B MRSA §605, sub-§4,</w:t>
      </w:r>
      <w:r>
        <w:rPr>
          <w:rFonts w:ascii="Arial" w:eastAsia="Arial" w:hAnsi="Arial" w:cs="Arial"/>
        </w:rPr>
        <w:t xml:space="preserve"> as amended by PL 2023, c. 679, Pt. B, §120, is further amended to read:</w:t>
      </w:r>
    </w:p>
    <w:p w:rsidR="007176F7" w:rsidP="007176F7">
      <w:pPr>
        <w:ind w:left="360" w:firstLine="360"/>
        <w:rPr>
          <w:rFonts w:ascii="Arial" w:eastAsia="Arial" w:hAnsi="Arial" w:cs="Arial"/>
        </w:rPr>
      </w:pPr>
      <w:bookmarkStart w:id="10" w:name="_STATUTE_NUMBER__1c3fb050_a68a_444b_aff4"/>
      <w:bookmarkStart w:id="11" w:name="_STATUTE_SS__17ba4f08_4adb_4548_9a41_3c4"/>
      <w:bookmarkEnd w:id="5"/>
      <w:r>
        <w:rPr>
          <w:rFonts w:ascii="Arial" w:eastAsia="Arial" w:hAnsi="Arial" w:cs="Arial"/>
          <w:b/>
        </w:rPr>
        <w:t>4</w:t>
      </w:r>
      <w:bookmarkEnd w:id="10"/>
      <w:r>
        <w:rPr>
          <w:rFonts w:ascii="Arial" w:eastAsia="Arial" w:hAnsi="Arial" w:cs="Arial"/>
          <w:b/>
        </w:rPr>
        <w:t xml:space="preserve">.  </w:t>
      </w:r>
      <w:bookmarkStart w:id="12" w:name="_STATUTE_HEADNOTE__3e11d25f_defd_48c4_a8"/>
      <w:r>
        <w:rPr>
          <w:rFonts w:ascii="Arial" w:eastAsia="Arial" w:hAnsi="Arial" w:cs="Arial"/>
          <w:b/>
        </w:rPr>
        <w:t>No</w:t>
      </w:r>
      <w:bookmarkStart w:id="13" w:name="_REV__52c82d8b_fcd1_4cbb_a1b9_5341bdb76b"/>
      <w:bookmarkStart w:id="14" w:name="_PROCESSED_CHANGE__38db8803_fce5_4adc_a2"/>
      <w:r>
        <w:rPr>
          <w:rFonts w:ascii="Arial" w:eastAsia="Arial" w:hAnsi="Arial" w:cs="Arial"/>
          <w:b/>
        </w:rPr>
        <w:t xml:space="preserve"> </w:t>
      </w:r>
      <w:r>
        <w:rPr>
          <w:rFonts w:ascii="Arial" w:eastAsia="Arial" w:hAnsi="Arial" w:cs="Arial"/>
          <w:b/>
          <w:strike/>
        </w:rPr>
        <w:t>subsequent</w:t>
      </w:r>
      <w:bookmarkStart w:id="15" w:name="_REV__4fda54ee_d3d1_4910_8fbc_84d56957ab"/>
      <w:bookmarkStart w:id="16" w:name="_PROCESSED_CHANGE__6652aa00_fb5a_4e5b_b1"/>
      <w:bookmarkEnd w:id="13"/>
      <w:bookmarkEnd w:id="14"/>
      <w:r>
        <w:rPr>
          <w:rFonts w:ascii="Arial" w:eastAsia="Arial" w:hAnsi="Arial" w:cs="Arial"/>
          <w:b/>
        </w:rPr>
        <w:t xml:space="preserve"> </w:t>
      </w:r>
      <w:r>
        <w:rPr>
          <w:rFonts w:ascii="Arial" w:eastAsia="Arial" w:hAnsi="Arial" w:cs="Arial"/>
          <w:b/>
          <w:u w:val="single"/>
        </w:rPr>
        <w:t>further</w:t>
      </w:r>
      <w:bookmarkEnd w:id="15"/>
      <w:bookmarkEnd w:id="16"/>
      <w:r>
        <w:rPr>
          <w:rFonts w:ascii="Arial" w:eastAsia="Arial" w:hAnsi="Arial" w:cs="Arial"/>
          <w:b/>
        </w:rPr>
        <w:t xml:space="preserve"> processing, manufacturing or alteration.</w:t>
      </w:r>
      <w:bookmarkEnd w:id="12"/>
      <w:r>
        <w:rPr>
          <w:rFonts w:ascii="Arial" w:eastAsia="Arial" w:hAnsi="Arial" w:cs="Arial"/>
          <w:b/>
        </w:rPr>
        <w:t xml:space="preserve"> </w:t>
      </w:r>
      <w:r>
        <w:rPr>
          <w:rFonts w:ascii="Arial" w:eastAsia="Arial" w:hAnsi="Arial" w:cs="Arial"/>
        </w:rPr>
        <w:t xml:space="preserve"> </w:t>
      </w:r>
      <w:bookmarkStart w:id="17" w:name="_STATUTE_CONTENT__38e04f40_56f0_482e_931"/>
      <w:r>
        <w:rPr>
          <w:rFonts w:ascii="Arial" w:eastAsia="Arial" w:hAnsi="Arial" w:cs="Arial"/>
        </w:rPr>
        <w:t xml:space="preserve">Since the performance of the prior testing under </w:t>
      </w:r>
      <w:bookmarkStart w:id="18" w:name="_CROSS_REFERENCE__d0af3428_2343_4a1d_860"/>
      <w:r>
        <w:rPr>
          <w:rFonts w:ascii="Arial" w:eastAsia="Arial" w:hAnsi="Arial" w:cs="Arial"/>
        </w:rPr>
        <w:t>subsection 1</w:t>
      </w:r>
      <w:bookmarkEnd w:id="18"/>
      <w:r>
        <w:rPr>
          <w:rFonts w:ascii="Arial" w:eastAsia="Arial" w:hAnsi="Arial" w:cs="Arial"/>
        </w:rPr>
        <w:t xml:space="preserve">, the cannabis or cannabis product has not undergone any further processing, manufacturing or alteration that would result in an increase in the concentration of any contaminants or factors identified in </w:t>
      </w:r>
      <w:bookmarkStart w:id="19" w:name="_CROSS_REFERENCE__9468ba86_1440_4b1f_821"/>
      <w:r>
        <w:rPr>
          <w:rFonts w:ascii="Arial" w:eastAsia="Arial" w:hAnsi="Arial" w:cs="Arial"/>
        </w:rPr>
        <w:t>section 602, subsection 1</w:t>
      </w:r>
      <w:bookmarkEnd w:id="19"/>
      <w:r>
        <w:rPr>
          <w:rFonts w:ascii="Arial" w:eastAsia="Arial" w:hAnsi="Arial" w:cs="Arial"/>
        </w:rPr>
        <w:t xml:space="preserve"> or in any rules adopted by the office pursuant to that section.</w:t>
      </w:r>
      <w:bookmarkStart w:id="20" w:name="_REV__f81c2c17_7664_4485_bc92_ea8979f955"/>
      <w:bookmarkStart w:id="21" w:name="_PROCESSED_CHANGE__fe5fc571_da49_4357_a5"/>
      <w:bookmarkStart w:id="22" w:name="_PROCESSED_CHANGE__9c544fd8_5e57_440e_a7"/>
      <w:r w:rsidRPr="006A399D">
        <w:rPr>
          <w:rFonts w:ascii="Arial" w:eastAsia="Arial" w:hAnsi="Arial" w:cs="Arial"/>
        </w:rPr>
        <w:t xml:space="preserve"> </w:t>
      </w:r>
      <w:r>
        <w:rPr>
          <w:rFonts w:ascii="Arial" w:eastAsia="Arial" w:hAnsi="Arial" w:cs="Arial"/>
          <w:u w:val="single"/>
        </w:rPr>
        <w:t>For</w:t>
      </w:r>
      <w:r>
        <w:rPr>
          <w:rFonts w:ascii="Arial" w:eastAsia="Arial" w:hAnsi="Arial" w:cs="Arial"/>
          <w:u w:val="single"/>
        </w:rPr>
        <w:t xml:space="preserve"> the</w:t>
      </w:r>
      <w:r>
        <w:rPr>
          <w:rFonts w:ascii="Arial" w:eastAsia="Arial" w:hAnsi="Arial" w:cs="Arial"/>
          <w:u w:val="single"/>
        </w:rPr>
        <w:t xml:space="preserve"> purposes of this subsection, "further processing, manufacturing or alteration" does not include the use of cannabis concentrate in the creation of an edible cannabis product, except for testing under section 602, subsection 1, paragraph F.</w:t>
      </w:r>
      <w:bookmarkEnd w:id="17"/>
      <w:bookmarkEnd w:id="20"/>
      <w:bookmarkEnd w:id="21"/>
      <w:bookmarkEnd w:id="22"/>
    </w:p>
    <w:p w:rsidR="00000000" w:rsidP="007176F7">
      <w:pPr>
        <w:ind w:left="360" w:firstLine="360"/>
        <w:rPr>
          <w:rFonts w:ascii="Arial" w:eastAsia="Arial" w:hAnsi="Arial" w:cs="Arial"/>
        </w:rPr>
      </w:pPr>
      <w:bookmarkStart w:id="23" w:name="_EMERGENCY_CLAUSE__dc2708c1_fd21_47bc_91"/>
      <w:bookmarkStart w:id="24" w:name="_INSTRUCTION__1c71cc5d_4ba6_46fd_9708_d3"/>
      <w:bookmarkEnd w:id="6"/>
      <w:bookmarkEnd w:id="7"/>
      <w:bookmarkEnd w:id="8"/>
      <w:bookmarkEnd w:id="11"/>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3"/>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LR1746, item 8 - 132nd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Adult Use Cannabis Testing</w:t>
    </w:r>
  </w:p>
  <w:p>
    <w:pPr>
      <w:suppressLineNumbers/>
      <w:spacing w:before="0" w:after="0"/>
      <w:jc w:val="center"/>
      <w:rPr>
        <w:rFonts w:ascii="Arial" w:eastAsia="Arial" w:hAnsi="Arial" w:cs="Arial"/>
      </w:rPr>
    </w:pPr>
    <w:r>
      <w:rPr>
        <w:rFonts w:ascii="Arial" w:eastAsia="Arial" w:hAnsi="Arial" w:cs="Arial"/>
        <w:sz w:val="22"/>
      </w:rPr>
      <w:t>L.D. 1488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A399D"/>
    <w:rsid w:val="006D40C3"/>
    <w:rsid w:val="007176F7"/>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33D78"/>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