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Assess the Total Cost to the State of Greenhouse Gas Emissions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740 - L.D. 1870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Assess the Total Cost to the State of Greenhouse Gas Emissions</w:t>
      </w:r>
    </w:p>
    <w:p w:rsidR="00CA1541" w:rsidP="00CA1541">
      <w:pPr>
        <w:ind w:left="360" w:firstLine="360"/>
        <w:rPr>
          <w:rFonts w:ascii="Arial" w:eastAsia="Arial" w:hAnsi="Arial" w:cs="Arial"/>
        </w:rPr>
      </w:pPr>
      <w:bookmarkStart w:id="0" w:name="_BILL_SECTION_UNALLOCATED__794b490b_baa5"/>
      <w:bookmarkStart w:id="1" w:name="_INSTRUCTION__d2b9c660_954d_4030_8830_35"/>
      <w:bookmarkStart w:id="2" w:name="_DOC_BODY_CONTENT__7d2adfbf_32e3_4513_b2"/>
      <w:bookmarkStart w:id="3" w:name="_DOC_BODY_CONTAINER__ff1eebe7_06e1_4584_"/>
      <w:r>
        <w:rPr>
          <w:rFonts w:ascii="Arial" w:eastAsia="Arial" w:hAnsi="Arial" w:cs="Arial"/>
          <w:b/>
          <w:sz w:val="24"/>
        </w:rPr>
        <w:t xml:space="preserve">Sec. </w:t>
      </w:r>
      <w:bookmarkStart w:id="4" w:name="_BILL_SECTION_NUMBER__97ce9bda_7204_4f78"/>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0963B9">
        <w:rPr>
          <w:rFonts w:ascii="Arial" w:eastAsia="Arial" w:hAnsi="Arial" w:cs="Arial"/>
          <w:b/>
          <w:sz w:val="24"/>
          <w:szCs w:val="24"/>
        </w:rPr>
        <w:t>Department of Environmental Protection; assessment of cost to State of greenhouse gas emissions; report.  Resolved:</w:t>
      </w:r>
      <w:r>
        <w:rPr>
          <w:rFonts w:ascii="Arial" w:eastAsia="Arial" w:hAnsi="Arial" w:cs="Arial"/>
        </w:rPr>
        <w:t xml:space="preserve"> That the Department of Environmental Protection shall conduct an assessment of the costs to the State of the emission of greenhouse gases for the period that began on January 1, 1995 and ended on December 31, 2024.  The department may contract with a consultant to conduct the assessment required by this section.  The assessment must include:</w:t>
      </w:r>
    </w:p>
    <w:p w:rsidR="00CA1541" w:rsidP="00CA1541">
      <w:pPr>
        <w:ind w:left="360" w:firstLine="360"/>
        <w:rPr>
          <w:rFonts w:ascii="Arial" w:eastAsia="Arial" w:hAnsi="Arial" w:cs="Arial"/>
        </w:rPr>
      </w:pPr>
      <w:r>
        <w:rPr>
          <w:rFonts w:ascii="Arial" w:eastAsia="Arial" w:hAnsi="Arial" w:cs="Arial"/>
        </w:rPr>
        <w:t>1.  A summary of the various cost-driving effects of greenhouse gas emissions on the State, including effects on public health, natural resources, biodiversity, agriculture, economic development, flood preparedness and safety, and any other effect that the department determines is relevant;</w:t>
      </w:r>
    </w:p>
    <w:p w:rsidR="00CA1541" w:rsidP="00CA1541">
      <w:pPr>
        <w:ind w:left="360" w:firstLine="360"/>
        <w:rPr>
          <w:rFonts w:ascii="Arial" w:eastAsia="Arial" w:hAnsi="Arial" w:cs="Arial"/>
        </w:rPr>
      </w:pPr>
      <w:r>
        <w:rPr>
          <w:rFonts w:ascii="Arial" w:eastAsia="Arial" w:hAnsi="Arial" w:cs="Arial"/>
        </w:rPr>
        <w:t>2.  A categorized calculation of the costs that have been incurred and are projected to be incurred by the State of each of the effects identified under subsection 1; and</w:t>
      </w:r>
    </w:p>
    <w:p w:rsidR="00CA1541" w:rsidP="00CA1541">
      <w:pPr>
        <w:ind w:left="360" w:firstLine="360"/>
        <w:rPr>
          <w:rFonts w:ascii="Arial" w:eastAsia="Arial" w:hAnsi="Arial" w:cs="Arial"/>
        </w:rPr>
      </w:pPr>
      <w:r>
        <w:rPr>
          <w:rFonts w:ascii="Arial" w:eastAsia="Arial" w:hAnsi="Arial" w:cs="Arial"/>
        </w:rPr>
        <w:t>3.  A categorized calculation of the costs that have been incurred and are projected to be incurred by the State to abate the effects of greenhouse gas emissions from between January 1, 1995 and December 31, 2024 on the State and residents of the State.</w:t>
      </w:r>
    </w:p>
    <w:p w:rsidR="00CA1541" w:rsidP="00CA1541">
      <w:pPr>
        <w:ind w:left="360" w:firstLine="360"/>
        <w:rPr>
          <w:rFonts w:ascii="Arial" w:eastAsia="Arial" w:hAnsi="Arial" w:cs="Arial"/>
        </w:rPr>
      </w:pPr>
      <w:r>
        <w:rPr>
          <w:rFonts w:ascii="Arial" w:eastAsia="Arial" w:hAnsi="Arial" w:cs="Arial"/>
        </w:rPr>
        <w:t>On or before January 1, 2028, the department shall submit a report containing the results of the assessment conducted pursuant to this section to the joint standing committees of the Legislature having jurisdiction over environment and natural resources matters, labor matters, judiciary matters</w:t>
      </w:r>
      <w:r w:rsidRPr="000963B9">
        <w:rPr>
          <w:rFonts w:ascii="Arial" w:eastAsia="Arial" w:hAnsi="Arial" w:cs="Arial"/>
        </w:rPr>
        <w:t xml:space="preserve"> </w:t>
      </w:r>
      <w:r>
        <w:rPr>
          <w:rFonts w:ascii="Arial" w:eastAsia="Arial" w:hAnsi="Arial" w:cs="Arial"/>
        </w:rPr>
        <w:t>and energy, utilities and technology matters.  After reviewing the report, the joint standing committee of the Legislature having jurisdiction over environment and natural resources matters may report out a bill relating to the report to the Second Regular Session of the 133rd Legislature.</w:t>
      </w:r>
    </w:p>
    <w:p w:rsidR="00CA1541" w:rsidP="00CA1541">
      <w:pPr>
        <w:ind w:left="360" w:firstLine="360"/>
        <w:rPr>
          <w:rFonts w:ascii="Arial" w:eastAsia="Arial" w:hAnsi="Arial" w:cs="Arial"/>
        </w:rPr>
      </w:pPr>
      <w:bookmarkStart w:id="5" w:name="_APPROP_SECTION__3bc577d2_bd32_446e_a508"/>
      <w:bookmarkStart w:id="6" w:name="_INSTRUCTION__8878472a_7dc0_430a_b914_94"/>
      <w:bookmarkEnd w:id="0"/>
      <w:r>
        <w:rPr>
          <w:rFonts w:ascii="Arial" w:eastAsia="Arial" w:hAnsi="Arial" w:cs="Arial"/>
          <w:b/>
          <w:sz w:val="24"/>
        </w:rPr>
        <w:t xml:space="preserve">Sec. </w:t>
      </w:r>
      <w:bookmarkStart w:id="7" w:name="_BILL_SECTION_NUMBER__9e98fe03_d788_4ee2"/>
      <w:r>
        <w:rPr>
          <w:rFonts w:ascii="Arial" w:eastAsia="Arial" w:hAnsi="Arial" w:cs="Arial"/>
          <w:b/>
          <w:sz w:val="24"/>
        </w:rPr>
        <w:t>2</w:t>
      </w:r>
      <w:bookmarkEnd w:id="7"/>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CA1541" w:rsidP="00CA1541">
      <w:pPr>
        <w:pStyle w:val="BPSParagraphLeftAlign"/>
        <w:suppressAutoHyphens/>
        <w:ind w:left="360"/>
        <w:rPr>
          <w:rFonts w:ascii="Arial" w:eastAsia="Arial" w:hAnsi="Arial" w:cs="Arial"/>
        </w:rPr>
      </w:pPr>
      <w:r>
        <w:rPr>
          <w:rFonts w:ascii="Arial" w:eastAsia="Arial" w:hAnsi="Arial" w:cs="Arial"/>
          <w:b/>
        </w:rPr>
        <w:t>ENVIRONMENTAL PROTECTION, DEPARTMENT OF</w:t>
      </w:r>
    </w:p>
    <w:p w:rsidR="00CA1541" w:rsidP="00CA1541">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CA1541" w:rsidP="00CA1541">
      <w:pPr>
        <w:ind w:left="360"/>
        <w:rPr>
          <w:rFonts w:ascii="Arial" w:eastAsia="Arial" w:hAnsi="Arial" w:cs="Arial"/>
        </w:rPr>
      </w:pPr>
      <w:r>
        <w:rPr>
          <w:rFonts w:ascii="Arial" w:eastAsia="Arial" w:hAnsi="Arial" w:cs="Arial"/>
        </w:rPr>
        <w:t>Initiative: Provides a one-time allocation for contracted support services related to the development of an assessment of the costs to the State from greenhouse gas emissions.  The department is authorized to accept funds from public and private sources for these purposes.</w:t>
      </w:r>
    </w:p>
    <w:tbl>
      <w:tblPr>
        <w:tblStyle w:val="BPSTable"/>
        <w:tblW w:w="0" w:type="auto"/>
        <w:tblInd w:w="360" w:type="dxa"/>
        <w:tblCellMar>
          <w:left w:w="0" w:type="dxa"/>
          <w:right w:w="0" w:type="dxa"/>
        </w:tblCellMar>
        <w:tblLook w:val="04A0"/>
      </w:tblPr>
      <w:tblGrid>
        <w:gridCol w:w="5009"/>
        <w:gridCol w:w="1463"/>
        <w:gridCol w:w="1463"/>
      </w:tblGrid>
      <w:tr w:rsidTr="00767D0A">
        <w:tblPrEx>
          <w:tblW w:w="0" w:type="auto"/>
          <w:tblInd w:w="360" w:type="dxa"/>
          <w:tblCellMar>
            <w:left w:w="0" w:type="dxa"/>
            <w:right w:w="0" w:type="dxa"/>
          </w:tblCellMar>
          <w:tblLook w:val="04A0"/>
        </w:tblPrEx>
        <w:tc>
          <w:tcPr>
            <w:tcW w:w="5069" w:type="dxa"/>
          </w:tcPr>
          <w:p w:rsidR="00CA1541" w:rsidP="00767D0A">
            <w:pPr>
              <w:rPr>
                <w:rFonts w:ascii="Arial" w:eastAsia="Arial" w:hAnsi="Arial" w:cs="Arial"/>
              </w:rPr>
            </w:pPr>
            <w:r>
              <w:rPr>
                <w:rFonts w:ascii="Arial" w:eastAsia="Arial" w:hAnsi="Arial" w:cs="Arial"/>
                <w:b/>
              </w:rPr>
              <w:t>OTHER SPECIAL REVENUE FUNDS</w:t>
            </w:r>
          </w:p>
        </w:tc>
        <w:tc>
          <w:tcPr>
            <w:tcW w:w="1469" w:type="dxa"/>
          </w:tcPr>
          <w:p w:rsidR="00CA1541" w:rsidP="00767D0A">
            <w:pPr>
              <w:jc w:val="right"/>
              <w:rPr>
                <w:rFonts w:ascii="Arial" w:eastAsia="Arial" w:hAnsi="Arial" w:cs="Arial"/>
              </w:rPr>
            </w:pPr>
            <w:r>
              <w:rPr>
                <w:rFonts w:ascii="Arial" w:eastAsia="Arial" w:hAnsi="Arial" w:cs="Arial"/>
                <w:b/>
              </w:rPr>
              <w:t>2025-26</w:t>
            </w:r>
          </w:p>
        </w:tc>
        <w:tc>
          <w:tcPr>
            <w:tcW w:w="1469" w:type="dxa"/>
          </w:tcPr>
          <w:p w:rsidR="00CA1541" w:rsidP="00767D0A">
            <w:pPr>
              <w:jc w:val="right"/>
              <w:rPr>
                <w:rFonts w:ascii="Arial" w:eastAsia="Arial" w:hAnsi="Arial" w:cs="Arial"/>
              </w:rPr>
            </w:pPr>
            <w:r>
              <w:rPr>
                <w:rFonts w:ascii="Arial" w:eastAsia="Arial" w:hAnsi="Arial" w:cs="Arial"/>
                <w:b/>
              </w:rPr>
              <w:t>2026-27</w:t>
            </w:r>
          </w:p>
        </w:tc>
      </w:tr>
      <w:tr w:rsidTr="00767D0A">
        <w:tblPrEx>
          <w:tblW w:w="0" w:type="auto"/>
          <w:tblInd w:w="360" w:type="dxa"/>
          <w:tblCellMar>
            <w:left w:w="0" w:type="dxa"/>
            <w:right w:w="0" w:type="dxa"/>
          </w:tblCellMar>
          <w:tblLook w:val="04A0"/>
        </w:tblPrEx>
        <w:tc>
          <w:tcPr>
            <w:tcW w:w="5069" w:type="dxa"/>
          </w:tcPr>
          <w:p w:rsidR="00CA1541" w:rsidP="00767D0A">
            <w:pPr>
              <w:ind w:left="180"/>
              <w:rPr>
                <w:rFonts w:ascii="Arial" w:eastAsia="Arial" w:hAnsi="Arial" w:cs="Arial"/>
              </w:rPr>
            </w:pPr>
            <w:r>
              <w:rPr>
                <w:rFonts w:ascii="Arial" w:eastAsia="Arial" w:hAnsi="Arial" w:cs="Arial"/>
              </w:rPr>
              <w:t>All Other</w:t>
            </w:r>
          </w:p>
        </w:tc>
        <w:tc>
          <w:tcPr>
            <w:tcW w:w="1469" w:type="dxa"/>
          </w:tcPr>
          <w:p w:rsidR="00CA1541" w:rsidP="00767D0A">
            <w:pPr>
              <w:jc w:val="right"/>
              <w:rPr>
                <w:rFonts w:ascii="Arial" w:eastAsia="Arial" w:hAnsi="Arial" w:cs="Arial"/>
              </w:rPr>
            </w:pPr>
            <w:r>
              <w:rPr>
                <w:rFonts w:ascii="Arial" w:eastAsia="Arial" w:hAnsi="Arial" w:cs="Arial"/>
              </w:rPr>
              <w:t>$0</w:t>
            </w:r>
          </w:p>
        </w:tc>
        <w:tc>
          <w:tcPr>
            <w:tcW w:w="1469" w:type="dxa"/>
          </w:tcPr>
          <w:p w:rsidR="00CA1541" w:rsidP="00767D0A">
            <w:pPr>
              <w:jc w:val="right"/>
              <w:rPr>
                <w:rFonts w:ascii="Arial" w:eastAsia="Arial" w:hAnsi="Arial" w:cs="Arial"/>
              </w:rPr>
            </w:pPr>
            <w:r>
              <w:rPr>
                <w:rFonts w:ascii="Arial" w:eastAsia="Arial" w:hAnsi="Arial" w:cs="Arial"/>
              </w:rPr>
              <w:t>$600,000</w:t>
            </w:r>
          </w:p>
        </w:tc>
      </w:tr>
      <w:tr w:rsidTr="00767D0A">
        <w:tblPrEx>
          <w:tblW w:w="0" w:type="auto"/>
          <w:tblInd w:w="360" w:type="dxa"/>
          <w:tblCellMar>
            <w:left w:w="0" w:type="dxa"/>
            <w:right w:w="0" w:type="dxa"/>
          </w:tblCellMar>
          <w:tblLook w:val="04A0"/>
        </w:tblPrEx>
        <w:tc>
          <w:tcPr>
            <w:tcW w:w="5069" w:type="dxa"/>
          </w:tcPr>
          <w:p w:rsidR="00CA1541" w:rsidP="00767D0A">
            <w:pPr>
              <w:rPr>
                <w:rFonts w:ascii="Arial" w:eastAsia="Arial" w:hAnsi="Arial" w:cs="Arial"/>
              </w:rPr>
            </w:pPr>
            <w:r>
              <w:rPr>
                <w:rFonts w:ascii="Arial" w:eastAsia="Arial" w:hAnsi="Arial" w:cs="Arial"/>
              </w:rPr>
              <w:t xml:space="preserve"> </w:t>
            </w:r>
          </w:p>
        </w:tc>
        <w:tc>
          <w:tcPr>
            <w:tcW w:w="1469" w:type="dxa"/>
          </w:tcPr>
          <w:p w:rsidR="00CA1541" w:rsidP="00767D0A">
            <w:pPr>
              <w:jc w:val="right"/>
              <w:rPr>
                <w:rFonts w:ascii="Arial" w:eastAsia="Arial" w:hAnsi="Arial" w:cs="Arial"/>
              </w:rPr>
            </w:pPr>
            <w:r>
              <w:rPr>
                <w:rFonts w:ascii="Arial" w:eastAsia="Arial" w:hAnsi="Arial" w:cs="Arial"/>
              </w:rPr>
              <w:t>__________</w:t>
            </w:r>
          </w:p>
        </w:tc>
        <w:tc>
          <w:tcPr>
            <w:tcW w:w="1469" w:type="dxa"/>
          </w:tcPr>
          <w:p w:rsidR="00CA1541" w:rsidP="00767D0A">
            <w:pPr>
              <w:jc w:val="right"/>
              <w:rPr>
                <w:rFonts w:ascii="Arial" w:eastAsia="Arial" w:hAnsi="Arial" w:cs="Arial"/>
              </w:rPr>
            </w:pPr>
            <w:r>
              <w:rPr>
                <w:rFonts w:ascii="Arial" w:eastAsia="Arial" w:hAnsi="Arial" w:cs="Arial"/>
              </w:rPr>
              <w:t>__________</w:t>
            </w:r>
          </w:p>
        </w:tc>
      </w:tr>
      <w:tr w:rsidTr="00767D0A">
        <w:tblPrEx>
          <w:tblW w:w="0" w:type="auto"/>
          <w:tblInd w:w="360" w:type="dxa"/>
          <w:tblCellMar>
            <w:left w:w="0" w:type="dxa"/>
            <w:right w:w="0" w:type="dxa"/>
          </w:tblCellMar>
          <w:tblLook w:val="04A0"/>
        </w:tblPrEx>
        <w:tc>
          <w:tcPr>
            <w:tcW w:w="5069" w:type="dxa"/>
          </w:tcPr>
          <w:p w:rsidR="00CA1541" w:rsidP="00767D0A">
            <w:pPr>
              <w:rPr>
                <w:rFonts w:ascii="Arial" w:eastAsia="Arial" w:hAnsi="Arial" w:cs="Arial"/>
              </w:rPr>
            </w:pPr>
            <w:r>
              <w:rPr>
                <w:rFonts w:ascii="Arial" w:eastAsia="Arial" w:hAnsi="Arial" w:cs="Arial"/>
              </w:rPr>
              <w:t>OTHER SPECIAL REVENUE FUNDS TOTAL</w:t>
            </w:r>
          </w:p>
        </w:tc>
        <w:tc>
          <w:tcPr>
            <w:tcW w:w="1469" w:type="dxa"/>
          </w:tcPr>
          <w:p w:rsidR="00CA1541" w:rsidP="00767D0A">
            <w:pPr>
              <w:jc w:val="right"/>
              <w:rPr>
                <w:rFonts w:ascii="Arial" w:eastAsia="Arial" w:hAnsi="Arial" w:cs="Arial"/>
              </w:rPr>
            </w:pPr>
            <w:r>
              <w:rPr>
                <w:rFonts w:ascii="Arial" w:eastAsia="Arial" w:hAnsi="Arial" w:cs="Arial"/>
              </w:rPr>
              <w:t>$0</w:t>
            </w:r>
          </w:p>
        </w:tc>
        <w:tc>
          <w:tcPr>
            <w:tcW w:w="1469" w:type="dxa"/>
          </w:tcPr>
          <w:p w:rsidR="00CA1541" w:rsidP="00767D0A">
            <w:pPr>
              <w:jc w:val="right"/>
              <w:rPr>
                <w:rFonts w:ascii="Arial" w:eastAsia="Arial" w:hAnsi="Arial" w:cs="Arial"/>
              </w:rPr>
            </w:pPr>
            <w:r>
              <w:rPr>
                <w:rFonts w:ascii="Arial" w:eastAsia="Arial" w:hAnsi="Arial" w:cs="Arial"/>
              </w:rPr>
              <w:t>$600,000</w:t>
            </w:r>
          </w:p>
        </w:tc>
      </w:tr>
      <w:bookmarkEnd w:id="1"/>
      <w:bookmarkEnd w:id="2"/>
      <w:bookmarkEnd w:id="3"/>
      <w:bookmarkEnd w:id="5"/>
      <w:bookmarkEnd w:id="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LR2359,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Assess the Total Cost to the State of Greenhouse Gas Emissions</w:t>
    </w:r>
  </w:p>
  <w:p>
    <w:pPr>
      <w:suppressLineNumbers/>
      <w:spacing w:before="0" w:after="0"/>
      <w:jc w:val="center"/>
      <w:rPr>
        <w:rFonts w:ascii="Arial" w:eastAsia="Arial" w:hAnsi="Arial" w:cs="Arial"/>
      </w:rPr>
    </w:pPr>
    <w:r>
      <w:rPr>
        <w:rFonts w:ascii="Arial" w:eastAsia="Arial" w:hAnsi="Arial" w:cs="Arial"/>
        <w:sz w:val="22"/>
      </w:rPr>
      <w:t>L.D. 1870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963B9"/>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67D0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541"/>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