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Required Landings in the Menhaden Fishery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876 - L.D. 1353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Required Landings in the Menhaden Fishery</w:t>
      </w:r>
    </w:p>
    <w:p w:rsidR="000168F5" w:rsidP="000168F5">
      <w:pPr>
        <w:ind w:left="360"/>
        <w:rPr>
          <w:rFonts w:ascii="Arial" w:eastAsia="Arial" w:hAnsi="Arial" w:cs="Arial"/>
        </w:rPr>
      </w:pPr>
      <w:bookmarkStart w:id="0" w:name="_ENACTING_CLAUSE__058672ee_edf9_4a65_931"/>
      <w:bookmarkStart w:id="1" w:name="_PAR__1_ed8c264a_deaf_4180_9f36_0f6f9d8f"/>
      <w:bookmarkStart w:id="2" w:name="_DOC_BODY_CONTAINER__3648687f_e1b7_4b6b_"/>
      <w:r>
        <w:rPr>
          <w:rFonts w:ascii="Arial" w:eastAsia="Arial" w:hAnsi="Arial" w:cs="Arial"/>
          <w:b/>
        </w:rPr>
        <w:t>Be it enacted by the People of the State of Maine as follows:</w:t>
      </w:r>
    </w:p>
    <w:p w:rsidR="000168F5" w:rsidP="000168F5">
      <w:pPr>
        <w:ind w:left="360" w:firstLine="360"/>
        <w:rPr>
          <w:rFonts w:ascii="Arial" w:eastAsia="Arial" w:hAnsi="Arial" w:cs="Arial"/>
        </w:rPr>
      </w:pPr>
      <w:bookmarkStart w:id="3" w:name="_BILL_SECTION_HEADER__d800aaec_ab9e_424f"/>
      <w:bookmarkStart w:id="4" w:name="_BILL_SECTION__5b4ccd1c_1b88_403a_824a_3"/>
      <w:bookmarkStart w:id="5" w:name="_INSTRUCTION__c2a55c3f_2261_4fc7_8000_cd"/>
      <w:bookmarkStart w:id="6" w:name="_INSTRUCTION__34280292_b34a_4d18_940c_bb"/>
      <w:bookmarkStart w:id="7" w:name="_DOC_BODY_CONTENT__62653c4a_d8bb_4f9d_a5"/>
      <w:bookmarkEnd w:id="0"/>
      <w:bookmarkEnd w:id="1"/>
      <w:r>
        <w:rPr>
          <w:rFonts w:ascii="Arial" w:eastAsia="Arial" w:hAnsi="Arial" w:cs="Arial"/>
          <w:b/>
          <w:sz w:val="24"/>
        </w:rPr>
        <w:t xml:space="preserve">Sec. </w:t>
      </w:r>
      <w:bookmarkStart w:id="8" w:name="_BILL_SECTION_NUMBER__b4b1c84c_15b5_4f20"/>
      <w:r>
        <w:rPr>
          <w:rFonts w:ascii="Arial" w:eastAsia="Arial" w:hAnsi="Arial" w:cs="Arial"/>
          <w:b/>
          <w:sz w:val="24"/>
        </w:rPr>
        <w:t>1</w:t>
      </w:r>
      <w:bookmarkEnd w:id="8"/>
      <w:r>
        <w:rPr>
          <w:rFonts w:ascii="Arial" w:eastAsia="Arial" w:hAnsi="Arial" w:cs="Arial"/>
          <w:b/>
          <w:sz w:val="24"/>
        </w:rPr>
        <w:t>.  12 MRSA §6502-C, sub-§1-C,</w:t>
      </w:r>
      <w:r>
        <w:rPr>
          <w:rFonts w:ascii="Arial" w:eastAsia="Arial" w:hAnsi="Arial" w:cs="Arial"/>
        </w:rPr>
        <w:t xml:space="preserve"> as enacted by PL 2023, c. 169, §2 and affected by §5, is amended to read:</w:t>
      </w:r>
    </w:p>
    <w:p w:rsidR="000168F5" w:rsidP="000168F5">
      <w:pPr>
        <w:ind w:left="360" w:firstLine="360"/>
        <w:rPr>
          <w:rFonts w:ascii="Arial" w:eastAsia="Arial" w:hAnsi="Arial" w:cs="Arial"/>
        </w:rPr>
      </w:pPr>
      <w:bookmarkStart w:id="9" w:name="_STATUTE_NUMBER__48fca6b5_e6a4_494a_8c8e"/>
      <w:bookmarkStart w:id="10" w:name="_STATUTE_SS__8e961884_6597_4d9a_a29b_ffe"/>
      <w:bookmarkEnd w:id="3"/>
      <w:r>
        <w:rPr>
          <w:rFonts w:ascii="Arial" w:eastAsia="Arial" w:hAnsi="Arial" w:cs="Arial"/>
          <w:b/>
        </w:rPr>
        <w:t>1-C</w:t>
      </w:r>
      <w:bookmarkEnd w:id="9"/>
      <w:r>
        <w:rPr>
          <w:rFonts w:ascii="Arial" w:eastAsia="Arial" w:hAnsi="Arial" w:cs="Arial"/>
          <w:b/>
        </w:rPr>
        <w:t xml:space="preserve">.  </w:t>
      </w:r>
      <w:bookmarkStart w:id="11" w:name="_STATUTE_HEADNOTE__aadb9ad5_d0f6_40af_93"/>
      <w:r>
        <w:rPr>
          <w:rFonts w:ascii="Arial" w:eastAsia="Arial" w:hAnsi="Arial" w:cs="Arial"/>
          <w:b/>
        </w:rPr>
        <w:t>Menhaden license limited entry system.</w:t>
      </w:r>
      <w:bookmarkEnd w:id="11"/>
      <w:r>
        <w:rPr>
          <w:rFonts w:ascii="Arial" w:eastAsia="Arial" w:hAnsi="Arial" w:cs="Arial"/>
          <w:b/>
        </w:rPr>
        <w:t xml:space="preserve"> </w:t>
      </w:r>
      <w:r>
        <w:rPr>
          <w:rFonts w:ascii="Arial" w:eastAsia="Arial" w:hAnsi="Arial" w:cs="Arial"/>
        </w:rPr>
        <w:t xml:space="preserve"> </w:t>
      </w:r>
      <w:bookmarkStart w:id="12" w:name="_STATUTE_CONTENT__415aa301_4774_4d87_948"/>
      <w:r>
        <w:rPr>
          <w:rFonts w:ascii="Arial" w:eastAsia="Arial" w:hAnsi="Arial" w:cs="Arial"/>
        </w:rPr>
        <w:t xml:space="preserve">Notwithstanding </w:t>
      </w:r>
      <w:bookmarkStart w:id="13" w:name="_CROSS_REFERENCE__2809f359_924c_4bba_889"/>
      <w:r>
        <w:rPr>
          <w:rFonts w:ascii="Arial" w:eastAsia="Arial" w:hAnsi="Arial" w:cs="Arial"/>
        </w:rPr>
        <w:t>subsection 1‑B</w:t>
      </w:r>
      <w:bookmarkEnd w:id="13"/>
      <w:r>
        <w:rPr>
          <w:rFonts w:ascii="Arial" w:eastAsia="Arial" w:hAnsi="Arial" w:cs="Arial"/>
        </w:rPr>
        <w:t>, the commissioner</w:t>
      </w:r>
      <w:bookmarkStart w:id="14" w:name="_REV__1505dacc_e164_4b6a_8b72_f43a96d0ed"/>
      <w:r>
        <w:rPr>
          <w:rFonts w:ascii="Arial" w:eastAsia="Arial" w:hAnsi="Arial" w:cs="Arial"/>
        </w:rPr>
        <w:t xml:space="preserve"> </w:t>
      </w:r>
      <w:r>
        <w:rPr>
          <w:rFonts w:ascii="Arial" w:eastAsia="Arial" w:hAnsi="Arial" w:cs="Arial"/>
          <w:strike/>
        </w:rPr>
        <w:t>may</w:t>
      </w:r>
      <w:bookmarkStart w:id="15" w:name="_REV__0b545da0_39d0_4e14_8e7f_81ec3c6e72"/>
      <w:bookmarkEnd w:id="14"/>
      <w:r>
        <w:rPr>
          <w:rFonts w:ascii="Arial" w:eastAsia="Arial" w:hAnsi="Arial" w:cs="Arial"/>
        </w:rPr>
        <w:t xml:space="preserve"> </w:t>
      </w:r>
      <w:r>
        <w:rPr>
          <w:rFonts w:ascii="Arial" w:eastAsia="Arial" w:hAnsi="Arial" w:cs="Arial"/>
          <w:u w:val="single"/>
        </w:rPr>
        <w:t>shall</w:t>
      </w:r>
      <w:bookmarkEnd w:id="15"/>
      <w:r>
        <w:rPr>
          <w:rFonts w:ascii="Arial" w:eastAsia="Arial" w:hAnsi="Arial" w:cs="Arial"/>
        </w:rPr>
        <w:t xml:space="preserve"> establish by rule a limited entry system under which a person who did not hold a commercial menhaden license in the previous calendar year may become eligible to obtain that license</w:t>
      </w:r>
      <w:bookmarkStart w:id="16" w:name="_REV__152ea8ea_46ba_44d9_be9b_d544a60433"/>
      <w:r>
        <w:rPr>
          <w:rFonts w:ascii="Arial" w:eastAsia="Arial" w:hAnsi="Arial" w:cs="Arial"/>
        </w:rPr>
        <w:t xml:space="preserve"> </w:t>
      </w:r>
      <w:r>
        <w:rPr>
          <w:rFonts w:ascii="Arial" w:eastAsia="Arial" w:hAnsi="Arial" w:cs="Arial"/>
          <w:u w:val="single"/>
        </w:rPr>
        <w:t>when the total number of commercial menhaden licenses is less than 350 licenses and as long as the fishery exit</w:t>
      </w:r>
      <w:r>
        <w:rPr>
          <w:rFonts w:ascii="Arial" w:eastAsia="Arial" w:hAnsi="Arial" w:cs="Arial"/>
          <w:u w:val="single"/>
        </w:rPr>
        <w:t xml:space="preserve"> ratio is one to one</w:t>
      </w:r>
      <w:bookmarkEnd w:id="16"/>
      <w:r>
        <w:rPr>
          <w:rFonts w:ascii="Arial" w:eastAsia="Arial" w:hAnsi="Arial" w:cs="Arial"/>
        </w:rPr>
        <w:t>. The rules for a limited entry system must include provisions for the method and administration of the system.</w:t>
      </w:r>
      <w:bookmarkStart w:id="17" w:name="_REV__d68d823c_cee6_4514_b633_d24b76eff7"/>
      <w:r>
        <w:rPr>
          <w:rFonts w:ascii="Arial" w:eastAsia="Arial" w:hAnsi="Arial" w:cs="Arial"/>
        </w:rPr>
        <w:t xml:space="preserve"> </w:t>
      </w:r>
      <w:r>
        <w:rPr>
          <w:rFonts w:ascii="Arial" w:eastAsia="Arial" w:hAnsi="Arial" w:cs="Arial"/>
          <w:strike/>
        </w:rPr>
        <w:t xml:space="preserve">Rules adopted pursuant to this subsection are routine technical rules as defined in </w:t>
      </w:r>
      <w:bookmarkStart w:id="18" w:name="_CROSS_REFERENCE__cf0fcefd_262f_40bd_9d9"/>
      <w:r>
        <w:rPr>
          <w:rFonts w:ascii="Arial" w:eastAsia="Arial" w:hAnsi="Arial" w:cs="Arial"/>
          <w:strike/>
        </w:rPr>
        <w:t>Title 5, chapter 375, subchapter 2‑A</w:t>
      </w:r>
      <w:bookmarkEnd w:id="18"/>
      <w:r>
        <w:rPr>
          <w:rFonts w:ascii="Arial" w:eastAsia="Arial" w:hAnsi="Arial" w:cs="Arial"/>
          <w:strike/>
        </w:rPr>
        <w:t>.</w:t>
      </w:r>
      <w:bookmarkEnd w:id="12"/>
      <w:bookmarkEnd w:id="17"/>
    </w:p>
    <w:p w:rsidR="000168F5" w:rsidP="000168F5">
      <w:pPr>
        <w:ind w:left="360"/>
        <w:rPr>
          <w:rFonts w:ascii="Arial" w:eastAsia="Arial" w:hAnsi="Arial" w:cs="Arial"/>
        </w:rPr>
      </w:pPr>
      <w:bookmarkStart w:id="19" w:name="_STATUTE_P__4dd024e7_e25d_4dc0_9038_ee9f"/>
      <w:bookmarkStart w:id="20" w:name="_REV__a222d25c_5bf9_4a24_858c_0189d6a2a1"/>
      <w:bookmarkStart w:id="21" w:name="_STATUTE_CONTENT__32d11d2f_c527_4390_afa"/>
      <w:r>
        <w:rPr>
          <w:rFonts w:ascii="Arial" w:eastAsia="Arial" w:hAnsi="Arial" w:cs="Arial"/>
          <w:u w:val="single"/>
        </w:rPr>
        <w:t xml:space="preserve">Prior to the adoption of rules pursuant to this subsection, </w:t>
      </w:r>
      <w:r>
        <w:rPr>
          <w:rFonts w:ascii="Arial" w:eastAsia="Arial" w:hAnsi="Arial" w:cs="Arial"/>
          <w:u w:val="single"/>
        </w:rPr>
        <w:t xml:space="preserve">when the total number of commercial menhaden licenses is less than 350 licenses and as long as the fishery exit ratio is one to </w:t>
      </w:r>
      <w:r>
        <w:rPr>
          <w:rFonts w:ascii="Arial" w:eastAsia="Arial" w:hAnsi="Arial" w:cs="Arial"/>
          <w:u w:val="single"/>
        </w:rPr>
        <w:t xml:space="preserve">one, </w:t>
      </w:r>
      <w:r>
        <w:rPr>
          <w:rFonts w:ascii="Arial" w:eastAsia="Arial" w:hAnsi="Arial" w:cs="Arial"/>
          <w:u w:val="single"/>
        </w:rPr>
        <w:t>the commissioner</w:t>
      </w:r>
      <w:r>
        <w:rPr>
          <w:rFonts w:ascii="Arial" w:eastAsia="Arial" w:hAnsi="Arial" w:cs="Arial"/>
          <w:u w:val="single"/>
        </w:rPr>
        <w:t xml:space="preserve"> shall</w:t>
      </w:r>
      <w:r>
        <w:rPr>
          <w:rFonts w:ascii="Arial" w:eastAsia="Arial" w:hAnsi="Arial" w:cs="Arial"/>
          <w:u w:val="single"/>
        </w:rPr>
        <w:t xml:space="preserve"> provide preference to individuals:</w:t>
      </w:r>
    </w:p>
    <w:p w:rsidR="000168F5" w:rsidP="000168F5">
      <w:pPr>
        <w:ind w:left="720"/>
        <w:rPr>
          <w:rFonts w:ascii="Arial" w:eastAsia="Arial" w:hAnsi="Arial" w:cs="Arial"/>
        </w:rPr>
      </w:pPr>
      <w:bookmarkStart w:id="22" w:name="_STATUTE_NUMBER__3b428bb5_6c90_4a6d_9ce7"/>
      <w:bookmarkStart w:id="23" w:name="_STATUTE_P__642fe869_9df9_4817_9314_8467"/>
      <w:bookmarkStart w:id="24" w:name="_REV__4bf9f331_d83a_4095_963d_f3e9d50196"/>
      <w:bookmarkEnd w:id="19"/>
      <w:bookmarkEnd w:id="20"/>
      <w:bookmarkEnd w:id="21"/>
      <w:r>
        <w:rPr>
          <w:rFonts w:ascii="Arial" w:eastAsia="Arial" w:hAnsi="Arial" w:cs="Arial"/>
          <w:u w:val="single"/>
        </w:rPr>
        <w:t>A</w:t>
      </w:r>
      <w:bookmarkEnd w:id="22"/>
      <w:r>
        <w:rPr>
          <w:rFonts w:ascii="Arial" w:eastAsia="Arial" w:hAnsi="Arial" w:cs="Arial"/>
          <w:u w:val="single"/>
        </w:rPr>
        <w:t xml:space="preserve">.  </w:t>
      </w:r>
      <w:bookmarkStart w:id="25" w:name="_STATUTE_CONTENT__e57b8545_261b_470b_8fe"/>
      <w:r>
        <w:rPr>
          <w:rFonts w:ascii="Arial" w:eastAsia="Arial" w:hAnsi="Arial" w:cs="Arial"/>
          <w:u w:val="single"/>
        </w:rPr>
        <w:t>Who meet the requirements of subsection 1-E; and</w:t>
      </w:r>
    </w:p>
    <w:p w:rsidR="000168F5" w:rsidP="000168F5">
      <w:pPr>
        <w:ind w:left="720"/>
        <w:rPr>
          <w:rFonts w:ascii="Arial" w:eastAsia="Arial" w:hAnsi="Arial" w:cs="Arial"/>
        </w:rPr>
      </w:pPr>
      <w:bookmarkStart w:id="26" w:name="_STATUTE_NUMBER__8a33e610_ecbe_4ccb_9939"/>
      <w:bookmarkStart w:id="27" w:name="_STATUTE_P__6f3984a6_2327_4ae3_8d4b_a9c1"/>
      <w:bookmarkStart w:id="28" w:name="_REV__98137514_5984_4690_8d3e_d0b2a1531c"/>
      <w:bookmarkEnd w:id="23"/>
      <w:bookmarkEnd w:id="24"/>
      <w:bookmarkEnd w:id="25"/>
      <w:r>
        <w:rPr>
          <w:rFonts w:ascii="Arial" w:eastAsia="Arial" w:hAnsi="Arial" w:cs="Arial"/>
          <w:u w:val="single"/>
        </w:rPr>
        <w:t>B</w:t>
      </w:r>
      <w:bookmarkEnd w:id="26"/>
      <w:r>
        <w:rPr>
          <w:rFonts w:ascii="Arial" w:eastAsia="Arial" w:hAnsi="Arial" w:cs="Arial"/>
          <w:u w:val="single"/>
        </w:rPr>
        <w:t xml:space="preserve">.  </w:t>
      </w:r>
      <w:bookmarkStart w:id="29" w:name="_STATUTE_CONTENT__2a4152c8_0662_4910_b3e"/>
      <w:r>
        <w:rPr>
          <w:rFonts w:ascii="Arial" w:eastAsia="Arial" w:hAnsi="Arial" w:cs="Arial"/>
          <w:u w:val="single"/>
        </w:rPr>
        <w:t xml:space="preserve">Based on </w:t>
      </w:r>
      <w:r>
        <w:rPr>
          <w:rFonts w:ascii="Arial" w:eastAsia="Arial" w:hAnsi="Arial" w:cs="Arial"/>
          <w:u w:val="single"/>
        </w:rPr>
        <w:t>an individual's</w:t>
      </w:r>
      <w:r>
        <w:rPr>
          <w:rFonts w:ascii="Arial" w:eastAsia="Arial" w:hAnsi="Arial" w:cs="Arial"/>
          <w:u w:val="single"/>
        </w:rPr>
        <w:t xml:space="preserve"> </w:t>
      </w:r>
      <w:r>
        <w:rPr>
          <w:rFonts w:ascii="Arial" w:eastAsia="Arial" w:hAnsi="Arial" w:cs="Arial"/>
          <w:u w:val="single"/>
        </w:rPr>
        <w:t>muni</w:t>
      </w:r>
      <w:r>
        <w:rPr>
          <w:rFonts w:ascii="Arial" w:eastAsia="Arial" w:hAnsi="Arial" w:cs="Arial"/>
          <w:u w:val="single"/>
        </w:rPr>
        <w:t xml:space="preserve">cipality of </w:t>
      </w:r>
      <w:r>
        <w:rPr>
          <w:rFonts w:ascii="Arial" w:eastAsia="Arial" w:hAnsi="Arial" w:cs="Arial"/>
          <w:u w:val="single"/>
        </w:rPr>
        <w:t xml:space="preserve">residence.  The commissioner shall fulfill the requirements of this paragraph by providing preference to an individual </w:t>
      </w:r>
      <w:r>
        <w:rPr>
          <w:rFonts w:ascii="Arial" w:eastAsia="Arial" w:hAnsi="Arial" w:cs="Arial"/>
          <w:u w:val="single"/>
        </w:rPr>
        <w:t xml:space="preserve">whose municipality of residence is located the farthest east in </w:t>
      </w:r>
      <w:r>
        <w:rPr>
          <w:rFonts w:ascii="Arial" w:eastAsia="Arial" w:hAnsi="Arial" w:cs="Arial"/>
          <w:u w:val="single"/>
        </w:rPr>
        <w:t>the State</w:t>
      </w:r>
      <w:r>
        <w:rPr>
          <w:rFonts w:ascii="Arial" w:eastAsia="Arial" w:hAnsi="Arial" w:cs="Arial"/>
          <w:u w:val="single"/>
        </w:rPr>
        <w:t xml:space="preserve"> and subsequently to an individual </w:t>
      </w:r>
      <w:r>
        <w:rPr>
          <w:rFonts w:ascii="Arial" w:eastAsia="Arial" w:hAnsi="Arial" w:cs="Arial"/>
          <w:u w:val="single"/>
        </w:rPr>
        <w:t>who</w:t>
      </w:r>
      <w:r>
        <w:rPr>
          <w:rFonts w:ascii="Arial" w:eastAsia="Arial" w:hAnsi="Arial" w:cs="Arial"/>
          <w:u w:val="single"/>
        </w:rPr>
        <w:t xml:space="preserve">se </w:t>
      </w:r>
      <w:r>
        <w:rPr>
          <w:rFonts w:ascii="Arial" w:eastAsia="Arial" w:hAnsi="Arial" w:cs="Arial"/>
          <w:u w:val="single"/>
        </w:rPr>
        <w:t>municipality of residence</w:t>
      </w:r>
      <w:r>
        <w:rPr>
          <w:rFonts w:ascii="Arial" w:eastAsia="Arial" w:hAnsi="Arial" w:cs="Arial"/>
          <w:u w:val="single"/>
        </w:rPr>
        <w:t xml:space="preserve"> </w:t>
      </w:r>
      <w:r>
        <w:rPr>
          <w:rFonts w:ascii="Arial" w:eastAsia="Arial" w:hAnsi="Arial" w:cs="Arial"/>
          <w:u w:val="single"/>
        </w:rPr>
        <w:t>is</w:t>
      </w:r>
      <w:r>
        <w:rPr>
          <w:rFonts w:ascii="Arial" w:eastAsia="Arial" w:hAnsi="Arial" w:cs="Arial"/>
          <w:u w:val="single"/>
        </w:rPr>
        <w:t xml:space="preserve"> </w:t>
      </w:r>
      <w:r>
        <w:rPr>
          <w:rFonts w:ascii="Arial" w:eastAsia="Arial" w:hAnsi="Arial" w:cs="Arial"/>
          <w:u w:val="single"/>
        </w:rPr>
        <w:t xml:space="preserve">located </w:t>
      </w:r>
      <w:r>
        <w:rPr>
          <w:rFonts w:ascii="Arial" w:eastAsia="Arial" w:hAnsi="Arial" w:cs="Arial"/>
          <w:u w:val="single"/>
        </w:rPr>
        <w:t xml:space="preserve">the next </w:t>
      </w:r>
      <w:r>
        <w:rPr>
          <w:rFonts w:ascii="Arial" w:eastAsia="Arial" w:hAnsi="Arial" w:cs="Arial"/>
          <w:u w:val="single"/>
        </w:rPr>
        <w:t xml:space="preserve">farthest </w:t>
      </w:r>
      <w:r>
        <w:rPr>
          <w:rFonts w:ascii="Arial" w:eastAsia="Arial" w:hAnsi="Arial" w:cs="Arial"/>
          <w:u w:val="single"/>
        </w:rPr>
        <w:t xml:space="preserve">east in </w:t>
      </w:r>
      <w:r>
        <w:rPr>
          <w:rFonts w:ascii="Arial" w:eastAsia="Arial" w:hAnsi="Arial" w:cs="Arial"/>
          <w:u w:val="single"/>
        </w:rPr>
        <w:t>the State</w:t>
      </w:r>
      <w:r>
        <w:rPr>
          <w:rFonts w:ascii="Arial" w:eastAsia="Arial" w:hAnsi="Arial" w:cs="Arial"/>
          <w:u w:val="single"/>
        </w:rPr>
        <w:t>.</w:t>
      </w:r>
      <w:r>
        <w:rPr>
          <w:rFonts w:ascii="Arial" w:eastAsia="Arial" w:hAnsi="Arial" w:cs="Arial"/>
          <w:u w:val="single"/>
        </w:rPr>
        <w:t xml:space="preserve">  If more than one individual resides in the municipality, the commissioner shall determine randomly which individual is given </w:t>
      </w:r>
      <w:r>
        <w:rPr>
          <w:rFonts w:ascii="Arial" w:eastAsia="Arial" w:hAnsi="Arial" w:cs="Arial"/>
          <w:u w:val="single"/>
        </w:rPr>
        <w:t>first preference.</w:t>
      </w:r>
    </w:p>
    <w:p w:rsidR="000168F5" w:rsidP="000168F5">
      <w:pPr>
        <w:ind w:left="360"/>
        <w:rPr>
          <w:rFonts w:ascii="Arial" w:eastAsia="Arial" w:hAnsi="Arial" w:cs="Arial"/>
        </w:rPr>
      </w:pPr>
      <w:bookmarkStart w:id="30" w:name="_REV__a9cefb05_7577_43d2_82a8_d03bb33410"/>
      <w:bookmarkStart w:id="31" w:name="_STATUTE_CONTENT__564b2945_3db4_45a6_9c5"/>
      <w:bookmarkStart w:id="32" w:name="_STATUTE_P__ca340ff8_c235_4491_8726_1196"/>
      <w:bookmarkEnd w:id="27"/>
      <w:bookmarkEnd w:id="28"/>
      <w:bookmarkEnd w:id="29"/>
      <w:r>
        <w:rPr>
          <w:rFonts w:ascii="Arial" w:eastAsia="Arial" w:hAnsi="Arial" w:cs="Arial"/>
          <w:u w:val="single"/>
        </w:rPr>
        <w:t>Rules establishing a limited entry system in accordance with this subsection must be adopted by December 31, 2027.  Rules adopted pursuant to this subsection are routine te</w:t>
      </w:r>
      <w:r>
        <w:rPr>
          <w:rFonts w:ascii="Arial" w:eastAsia="Arial" w:hAnsi="Arial" w:cs="Arial"/>
          <w:u w:val="single"/>
        </w:rPr>
        <w:t>chnical rules as defined in Title 5, chapter 375, subchapter 2-A.</w:t>
      </w:r>
    </w:p>
    <w:p w:rsidR="000168F5" w:rsidP="000168F5">
      <w:pPr>
        <w:ind w:left="360" w:firstLine="360"/>
        <w:rPr>
          <w:rFonts w:ascii="Arial" w:eastAsia="Arial" w:hAnsi="Arial" w:cs="Arial"/>
        </w:rPr>
      </w:pPr>
      <w:bookmarkStart w:id="33" w:name="_BILL_SECTION__82a8489e_6635_4d46_ae28_8"/>
      <w:bookmarkStart w:id="34" w:name="_BILL_SECTION_HEADER__b3aae0d7_fad9_4d92"/>
      <w:bookmarkEnd w:id="4"/>
      <w:bookmarkEnd w:id="5"/>
      <w:bookmarkEnd w:id="10"/>
      <w:bookmarkEnd w:id="30"/>
      <w:bookmarkEnd w:id="31"/>
      <w:bookmarkEnd w:id="32"/>
      <w:r>
        <w:rPr>
          <w:rFonts w:ascii="Arial" w:eastAsia="Arial" w:hAnsi="Arial" w:cs="Arial"/>
          <w:b/>
          <w:sz w:val="24"/>
        </w:rPr>
        <w:t xml:space="preserve">Sec. </w:t>
      </w:r>
      <w:bookmarkStart w:id="35" w:name="_BILL_SECTION_NUMBER__541ef219_29e8_4bce"/>
      <w:r>
        <w:rPr>
          <w:rFonts w:ascii="Arial" w:eastAsia="Arial" w:hAnsi="Arial" w:cs="Arial"/>
          <w:b/>
          <w:sz w:val="24"/>
        </w:rPr>
        <w:t>2</w:t>
      </w:r>
      <w:bookmarkEnd w:id="35"/>
      <w:r>
        <w:rPr>
          <w:rFonts w:ascii="Arial" w:eastAsia="Arial" w:hAnsi="Arial" w:cs="Arial"/>
          <w:b/>
          <w:sz w:val="24"/>
        </w:rPr>
        <w:t>.  12 MRSA §6502-C, sub-§1-E</w:t>
      </w:r>
      <w:r>
        <w:rPr>
          <w:rFonts w:ascii="Arial" w:eastAsia="Arial" w:hAnsi="Arial" w:cs="Arial"/>
        </w:rPr>
        <w:t xml:space="preserve"> is enacted to read:</w:t>
      </w:r>
    </w:p>
    <w:p w:rsidR="000168F5" w:rsidP="000168F5">
      <w:pPr>
        <w:ind w:left="360" w:firstLine="360"/>
        <w:rPr>
          <w:rFonts w:ascii="Arial" w:eastAsia="Arial" w:hAnsi="Arial" w:cs="Arial"/>
        </w:rPr>
      </w:pPr>
      <w:bookmarkStart w:id="36" w:name="_STATUTE_NUMBER__06394fcd_d40f_408b_b423"/>
      <w:bookmarkStart w:id="37" w:name="_REV__a9bfa28a_afb7_49f8_a708_e5a8b2ed0d"/>
      <w:bookmarkStart w:id="38" w:name="_STATUTE_SS__348f1d58_b740_4a85_8c9b_416"/>
      <w:bookmarkStart w:id="39" w:name="_PROCESSED_CHANGE__b0727b59_647b_405d_b0"/>
      <w:bookmarkStart w:id="40" w:name="_PROCESSED_CHANGE__74df7193_1edd_4cf0_97"/>
      <w:bookmarkStart w:id="41" w:name="_PROCESSED_CHANGE__34be57d6_00a0_402a_a3"/>
      <w:bookmarkStart w:id="42" w:name="_PROCESSED_CHANGE__5b0ab5e1_c62b_4d02_80"/>
      <w:bookmarkEnd w:id="34"/>
      <w:r>
        <w:rPr>
          <w:rFonts w:ascii="Arial" w:eastAsia="Arial" w:hAnsi="Arial" w:cs="Arial"/>
          <w:b/>
          <w:u w:val="single"/>
        </w:rPr>
        <w:t>1-E</w:t>
      </w:r>
      <w:bookmarkEnd w:id="36"/>
      <w:r>
        <w:rPr>
          <w:rFonts w:ascii="Arial" w:eastAsia="Arial" w:hAnsi="Arial" w:cs="Arial"/>
          <w:b/>
          <w:u w:val="single"/>
        </w:rPr>
        <w:t xml:space="preserve">.  </w:t>
      </w:r>
      <w:bookmarkStart w:id="43" w:name="_STATUTE_HEADNOTE__ccea6f1a_587e_4744_98"/>
      <w:r>
        <w:rPr>
          <w:rFonts w:ascii="Arial" w:eastAsia="Arial" w:hAnsi="Arial" w:cs="Arial"/>
          <w:b/>
          <w:u w:val="single"/>
        </w:rPr>
        <w:t>Commercial menhaden fishing license eligibility</w:t>
      </w:r>
      <w:bookmarkStart w:id="44" w:name="_ENGROSSING_REV__fe6c6237_cf9c_4ade_806e"/>
      <w:bookmarkStart w:id="45" w:name="_REV__1beaeed6_3733_4228_b154_d68c78eb28"/>
      <w:bookmarkEnd w:id="44"/>
      <w:r>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Prior to the adoption of a limited entry system pursuant to subsection 1-C</w:t>
      </w:r>
      <w:bookmarkStart w:id="46" w:name="_ENGROSSING_REV__ac9474b3_6b88_426e_8e49"/>
      <w:bookmarkStart w:id="47" w:name="_ENGROSSING_REV__0306e9f6_e0d5_489a_bb63"/>
      <w:bookmarkStart w:id="48" w:name="_ENGROSSING_REV__130d8389_7861_484b_a3ee"/>
      <w:bookmarkStart w:id="49" w:name="_ENGROSSING_REV__17b7445d_ad53_483c_8bb5"/>
      <w:bookmarkStart w:id="50" w:name="_ENGROSSING_REV__cc32ee16_207c_4c22_afae"/>
      <w:bookmarkStart w:id="51" w:name="_ENGROSSING_REV__38459513_e522_4bd7_9e76"/>
      <w:bookmarkStart w:id="52" w:name="_ENGROSSING_REV__2729ff22_146a_4545_952f"/>
      <w:bookmarkStart w:id="53" w:name="_ENGROSSING_REV__d4fb2d35_36bb_4da9_97db"/>
      <w:bookmarkStart w:id="54" w:name="_ENGROSSING_REV__0ba94713_735f_4f9f_9f82"/>
      <w:bookmarkStart w:id="55" w:name="_ENGROSSING_REV__ff54221b_1a5a_4fdf_a20a"/>
      <w:bookmarkStart w:id="56" w:name="_ENGROSSING_REV__297fca7f_a7e7_45e5_b0c4"/>
      <w:bookmarkStart w:id="57" w:name="_ENGROSSING_REV__a2d04e2f_2c37_469a_82b2"/>
      <w:bookmarkStart w:id="58" w:name="_STATUTE_CONTENT__d511d977_1ce0_4546_9b3"/>
      <w:bookmarkEnd w:id="43"/>
      <w:bookmarkEnd w:id="45"/>
      <w:bookmarkEnd w:id="46"/>
      <w:bookmarkEnd w:id="47"/>
      <w:bookmarkEnd w:id="48"/>
      <w:bookmarkEnd w:id="49"/>
      <w:bookmarkEnd w:id="50"/>
      <w:bookmarkEnd w:id="51"/>
      <w:bookmarkEnd w:id="52"/>
      <w:bookmarkEnd w:id="53"/>
      <w:bookmarkEnd w:id="54"/>
      <w:bookmarkEnd w:id="55"/>
      <w:bookmarkEnd w:id="56"/>
      <w:bookmarkEnd w:id="57"/>
      <w:r>
        <w:rPr>
          <w:rFonts w:ascii="Arial" w:eastAsia="Arial" w:hAnsi="Arial" w:cs="Arial"/>
          <w:u w:val="single"/>
        </w:rPr>
        <w:t>, th</w:t>
      </w:r>
      <w:r>
        <w:rPr>
          <w:rFonts w:ascii="Arial" w:eastAsia="Arial" w:hAnsi="Arial" w:cs="Arial"/>
          <w:u w:val="single"/>
        </w:rPr>
        <w:t>e commissioner may issue a</w:t>
      </w:r>
      <w:bookmarkStart w:id="59" w:name="_ENGROSSING_REV__811cda29_ba12_425f_a8c9"/>
      <w:bookmarkStart w:id="60" w:name="_ENGROSSING_REV__4bfa474b_0557_4548_90c1"/>
      <w:bookmarkStart w:id="61" w:name="_ENGROSSING_REV__b2a14128_e9c4_4c22_99c2"/>
      <w:bookmarkStart w:id="62" w:name="_ENGROSSING_REV__207688b3_90b9_4f40_87b9"/>
      <w:bookmarkEnd w:id="59"/>
      <w:bookmarkEnd w:id="60"/>
      <w:bookmarkEnd w:id="61"/>
      <w:bookmarkEnd w:id="62"/>
      <w:r>
        <w:rPr>
          <w:rFonts w:ascii="Arial" w:eastAsia="Arial" w:hAnsi="Arial" w:cs="Arial"/>
          <w:u w:val="single"/>
        </w:rPr>
        <w:t xml:space="preserve"> resident commercial menhaden fishing license or a</w:t>
      </w:r>
      <w:bookmarkStart w:id="63" w:name="_ENGROSSING_REV__4e9d6f3c_3a7c_43ab_89d8"/>
      <w:bookmarkStart w:id="64" w:name="_ENGROSSING_REV__17640623_2b78_461e_b110"/>
      <w:bookmarkStart w:id="65" w:name="_ENGROSSING_REV__e9efaa8e_f072_42dc_bb10"/>
      <w:bookmarkStart w:id="66" w:name="_ENGROSSING_REV__4f248adc_82f3_4a8a_bf25"/>
      <w:bookmarkEnd w:id="63"/>
      <w:bookmarkEnd w:id="64"/>
      <w:bookmarkEnd w:id="65"/>
      <w:bookmarkEnd w:id="66"/>
      <w:r>
        <w:rPr>
          <w:rFonts w:ascii="Arial" w:eastAsia="Arial" w:hAnsi="Arial" w:cs="Arial"/>
          <w:u w:val="single"/>
        </w:rPr>
        <w:t xml:space="preserve"> nonresident commercial menhaden fishing license to an individual if that individual:</w:t>
      </w:r>
    </w:p>
    <w:p w:rsidR="000168F5" w:rsidP="000168F5">
      <w:pPr>
        <w:ind w:left="720"/>
        <w:rPr>
          <w:rFonts w:ascii="Arial" w:eastAsia="Arial" w:hAnsi="Arial" w:cs="Arial"/>
        </w:rPr>
      </w:pPr>
      <w:bookmarkStart w:id="67" w:name="_STATUTE_NUMBER__5ba44f97_94d5_463d_b154"/>
      <w:bookmarkStart w:id="68" w:name="_STATUTE_P__7c29a558_b98e_43a5_bf92_9266"/>
      <w:bookmarkStart w:id="69" w:name="_REV__b678fdbd_fc31_4488_854f_6603bdd1b6"/>
      <w:bookmarkEnd w:id="37"/>
      <w:bookmarkEnd w:id="58"/>
      <w:r>
        <w:rPr>
          <w:rFonts w:ascii="Arial" w:eastAsia="Arial" w:hAnsi="Arial" w:cs="Arial"/>
          <w:u w:val="single"/>
        </w:rPr>
        <w:t>A</w:t>
      </w:r>
      <w:bookmarkEnd w:id="67"/>
      <w:r>
        <w:rPr>
          <w:rFonts w:ascii="Arial" w:eastAsia="Arial" w:hAnsi="Arial" w:cs="Arial"/>
          <w:u w:val="single"/>
        </w:rPr>
        <w:t xml:space="preserve">.  </w:t>
      </w:r>
      <w:bookmarkStart w:id="70" w:name="_STATUTE_CONTENT__8e797372_5fbb_48cf_8cf"/>
      <w:r>
        <w:rPr>
          <w:rFonts w:ascii="Arial" w:eastAsia="Arial" w:hAnsi="Arial" w:cs="Arial"/>
          <w:u w:val="single"/>
        </w:rPr>
        <w:t xml:space="preserve">Possessed a license to fish commercially for menhaden in at least </w:t>
      </w:r>
      <w:r>
        <w:rPr>
          <w:rFonts w:ascii="Arial" w:eastAsia="Arial" w:hAnsi="Arial" w:cs="Arial"/>
          <w:u w:val="single"/>
        </w:rPr>
        <w:t>one</w:t>
      </w:r>
      <w:r>
        <w:rPr>
          <w:rFonts w:ascii="Arial" w:eastAsia="Arial" w:hAnsi="Arial" w:cs="Arial"/>
          <w:u w:val="single"/>
        </w:rPr>
        <w:t xml:space="preserve"> of the following 3 years, 2019, 2020 or 2021;</w:t>
      </w:r>
    </w:p>
    <w:p w:rsidR="000168F5" w:rsidP="000168F5">
      <w:pPr>
        <w:ind w:left="720"/>
        <w:rPr>
          <w:rFonts w:ascii="Arial" w:eastAsia="Arial" w:hAnsi="Arial" w:cs="Arial"/>
        </w:rPr>
      </w:pPr>
      <w:bookmarkStart w:id="71" w:name="_STATUTE_NUMBER__3190246a_ad03_48b6_bcc6"/>
      <w:bookmarkStart w:id="72" w:name="_STATUTE_P__b5654b1d_8a35_4d3c_ac46_b7af"/>
      <w:bookmarkStart w:id="73" w:name="_REV__034eb254_ceeb_46e8_989f_05bc6cb55e"/>
      <w:bookmarkEnd w:id="68"/>
      <w:bookmarkEnd w:id="69"/>
      <w:bookmarkEnd w:id="70"/>
      <w:r>
        <w:rPr>
          <w:rFonts w:ascii="Arial" w:eastAsia="Arial" w:hAnsi="Arial" w:cs="Arial"/>
          <w:u w:val="single"/>
        </w:rPr>
        <w:t>B</w:t>
      </w:r>
      <w:bookmarkEnd w:id="71"/>
      <w:r>
        <w:rPr>
          <w:rFonts w:ascii="Arial" w:eastAsia="Arial" w:hAnsi="Arial" w:cs="Arial"/>
          <w:u w:val="single"/>
        </w:rPr>
        <w:t xml:space="preserve">.  </w:t>
      </w:r>
      <w:bookmarkStart w:id="74" w:name="_STATUTE_CONTENT__1d416d19_6ba7_4fd3_8a4"/>
      <w:r>
        <w:rPr>
          <w:rFonts w:ascii="Arial" w:eastAsia="Arial" w:hAnsi="Arial" w:cs="Arial"/>
          <w:u w:val="single"/>
        </w:rPr>
        <w:t>According to department records, reported legal landings of menhaden of 20,000 pounds or more under a commercial menhaden fishing license in at least one of the following 3 years, 2019, 2020 or 2021; and</w:t>
      </w:r>
    </w:p>
    <w:p w:rsidR="000168F5" w:rsidP="000168F5">
      <w:pPr>
        <w:ind w:left="720"/>
        <w:rPr>
          <w:rFonts w:ascii="Arial" w:eastAsia="Arial" w:hAnsi="Arial" w:cs="Arial"/>
        </w:rPr>
      </w:pPr>
      <w:bookmarkStart w:id="75" w:name="_STATUTE_NUMBER__5813de94_1da6_4295_a4dd"/>
      <w:bookmarkStart w:id="76" w:name="_STATUTE_P__c3f695b0_da01_4453_b165_1df3"/>
      <w:bookmarkStart w:id="77" w:name="_REV__4ba7fa13_34d7_42cc_a567_617cc093f3"/>
      <w:bookmarkEnd w:id="72"/>
      <w:bookmarkEnd w:id="73"/>
      <w:bookmarkEnd w:id="74"/>
      <w:r>
        <w:rPr>
          <w:rFonts w:ascii="Arial" w:eastAsia="Arial" w:hAnsi="Arial" w:cs="Arial"/>
          <w:u w:val="single"/>
        </w:rPr>
        <w:t>C</w:t>
      </w:r>
      <w:bookmarkEnd w:id="75"/>
      <w:r>
        <w:rPr>
          <w:rFonts w:ascii="Arial" w:eastAsia="Arial" w:hAnsi="Arial" w:cs="Arial"/>
          <w:u w:val="single"/>
        </w:rPr>
        <w:t xml:space="preserve">.  </w:t>
      </w:r>
      <w:bookmarkStart w:id="78" w:name="_STATUTE_CONTENT__0a4a1cdd_b6c9_49b5_bb3"/>
      <w:r>
        <w:rPr>
          <w:rFonts w:ascii="Arial" w:eastAsia="Arial" w:hAnsi="Arial" w:cs="Arial"/>
          <w:u w:val="single"/>
        </w:rPr>
        <w:t>Did not qualify for or receive a license for any period of time under subsection 1</w:t>
      </w:r>
      <w:r>
        <w:rPr>
          <w:rFonts w:ascii="Arial" w:eastAsia="Arial" w:hAnsi="Arial" w:cs="Arial"/>
          <w:u w:val="single"/>
        </w:rPr>
        <w:noBreakHyphen/>
      </w:r>
      <w:r>
        <w:rPr>
          <w:rFonts w:ascii="Arial" w:eastAsia="Arial" w:hAnsi="Arial" w:cs="Arial"/>
          <w:u w:val="single"/>
        </w:rPr>
        <w:t>A.</w:t>
      </w:r>
    </w:p>
    <w:p w:rsidR="000168F5" w:rsidP="000168F5">
      <w:pPr>
        <w:ind w:left="360"/>
        <w:rPr>
          <w:rFonts w:ascii="Arial" w:eastAsia="Arial" w:hAnsi="Arial" w:cs="Arial"/>
        </w:rPr>
      </w:pPr>
      <w:bookmarkStart w:id="79" w:name="_STATUTE_P__f8ed6190_0e6a_40b7_81ac_79cf"/>
      <w:bookmarkStart w:id="80" w:name="_STATUTE_CONTENT__4b672ec4_2460_43e2_9fc"/>
      <w:bookmarkStart w:id="81" w:name="_REV__2b42e9d4_2f18_4373_b37c_1021f13ec5"/>
      <w:bookmarkEnd w:id="76"/>
      <w:bookmarkEnd w:id="77"/>
      <w:bookmarkEnd w:id="78"/>
      <w:r>
        <w:rPr>
          <w:rFonts w:ascii="Arial" w:eastAsia="Arial" w:hAnsi="Arial" w:cs="Arial"/>
          <w:u w:val="single"/>
        </w:rPr>
        <w:t xml:space="preserve">Documentation, acceptable to the department, showing that the landing requirement in paragraph </w:t>
      </w:r>
      <w:r>
        <w:rPr>
          <w:rFonts w:ascii="Arial" w:eastAsia="Arial" w:hAnsi="Arial" w:cs="Arial"/>
          <w:u w:val="single"/>
        </w:rPr>
        <w:t xml:space="preserve">B </w:t>
      </w:r>
      <w:r>
        <w:rPr>
          <w:rFonts w:ascii="Arial" w:eastAsia="Arial" w:hAnsi="Arial" w:cs="Arial"/>
          <w:u w:val="single"/>
        </w:rPr>
        <w:t>has been met must be based on information reported to the department prior to January 1, 2023.</w:t>
      </w:r>
    </w:p>
    <w:p w:rsidR="000168F5" w:rsidP="000168F5">
      <w:pPr>
        <w:ind w:left="360" w:firstLine="360"/>
        <w:rPr>
          <w:rFonts w:ascii="Arial" w:eastAsia="Arial" w:hAnsi="Arial" w:cs="Arial"/>
        </w:rPr>
      </w:pPr>
      <w:bookmarkStart w:id="82" w:name="_BILL_SECTION_UNALLOCATED__b6e0cb15_be34"/>
      <w:bookmarkStart w:id="83" w:name="_INSTRUCTION__47eb82b1_215d_41f3_9810_46"/>
      <w:bookmarkEnd w:id="33"/>
      <w:bookmarkEnd w:id="38"/>
      <w:bookmarkEnd w:id="39"/>
      <w:bookmarkEnd w:id="40"/>
      <w:bookmarkEnd w:id="41"/>
      <w:bookmarkEnd w:id="42"/>
      <w:bookmarkEnd w:id="79"/>
      <w:bookmarkEnd w:id="80"/>
      <w:bookmarkEnd w:id="81"/>
      <w:r>
        <w:rPr>
          <w:rFonts w:ascii="Arial" w:eastAsia="Arial" w:hAnsi="Arial" w:cs="Arial"/>
          <w:b/>
          <w:sz w:val="24"/>
        </w:rPr>
        <w:t xml:space="preserve">Sec. </w:t>
      </w:r>
      <w:bookmarkStart w:id="84" w:name="_BILL_SECTION_NUMBER__50be4932_f7f4_493c"/>
      <w:r>
        <w:rPr>
          <w:rFonts w:ascii="Arial" w:eastAsia="Arial" w:hAnsi="Arial" w:cs="Arial"/>
          <w:b/>
          <w:sz w:val="24"/>
        </w:rPr>
        <w:t>3</w:t>
      </w:r>
      <w:bookmarkEnd w:id="84"/>
      <w:r>
        <w:rPr>
          <w:rFonts w:ascii="Arial" w:eastAsia="Arial" w:hAnsi="Arial" w:cs="Arial"/>
          <w:b/>
          <w:sz w:val="24"/>
        </w:rPr>
        <w:t>.</w:t>
      </w:r>
      <w:r>
        <w:rPr>
          <w:rFonts w:ascii="Arial" w:eastAsia="Arial" w:hAnsi="Arial" w:cs="Arial"/>
        </w:rPr>
        <w:t xml:space="preserve">  </w:t>
      </w:r>
      <w:r w:rsidRPr="004E209E">
        <w:rPr>
          <w:rFonts w:ascii="Arial" w:eastAsia="Arial" w:hAnsi="Arial" w:cs="Arial"/>
          <w:b/>
          <w:sz w:val="24"/>
        </w:rPr>
        <w:t xml:space="preserve">Assignment of licenses according to preference as soon as practicable; suspension until eligible individuals offered license. </w:t>
      </w:r>
      <w:r>
        <w:rPr>
          <w:rFonts w:ascii="Arial" w:eastAsia="Arial" w:hAnsi="Arial" w:cs="Arial"/>
        </w:rPr>
        <w:t xml:space="preserve"> The Commissioner of Marine Resources shall assign limited entry commercial menhaden licenses pursuant to the priorities established in the Maine Revised Statutes, Title 12, section 6502-C, subsection 1-C, paragraphs A and B as soon as practicable following the effective date of this section.</w:t>
      </w:r>
    </w:p>
    <w:p w:rsidR="00000000" w:rsidP="000168F5">
      <w:pPr>
        <w:ind w:left="360" w:firstLine="360"/>
        <w:rPr>
          <w:rFonts w:ascii="Arial" w:eastAsia="Arial" w:hAnsi="Arial" w:cs="Arial"/>
        </w:rPr>
      </w:pPr>
      <w:r w:rsidRPr="004E209E">
        <w:rPr>
          <w:rFonts w:ascii="Arial" w:eastAsia="Arial" w:hAnsi="Arial" w:cs="Arial"/>
        </w:rPr>
        <w:t>Notwithstanding</w:t>
      </w:r>
      <w:r>
        <w:rPr>
          <w:rFonts w:ascii="Arial" w:eastAsia="Arial" w:hAnsi="Arial" w:cs="Arial"/>
        </w:rPr>
        <w:t xml:space="preserve"> the provisions of Title 12, section 6502-C, subsections 1-C and 1-E, rules adopted by the commissioner establishing a limited entry system under which a person who did not hold a commercial menhaden license in the previous calendar year may become eligible to obtain that license are suspended until each individual who meets the preference requirements established in Title 12, section 6502-C, subsection 1-C, paragraphs A and B has been offered the opportunity to obtain a commercial menhaden license.</w:t>
      </w:r>
      <w:bookmarkEnd w:id="2"/>
      <w:bookmarkEnd w:id="6"/>
      <w:bookmarkEnd w:id="7"/>
      <w:bookmarkEnd w:id="82"/>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LR0728,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Required Landings in the Menhaden Fishery</w:t>
    </w:r>
  </w:p>
  <w:p>
    <w:pPr>
      <w:suppressLineNumbers/>
      <w:spacing w:before="0" w:after="0"/>
      <w:jc w:val="center"/>
      <w:rPr>
        <w:rFonts w:ascii="Arial" w:eastAsia="Arial" w:hAnsi="Arial" w:cs="Arial"/>
      </w:rPr>
    </w:pPr>
    <w:r>
      <w:rPr>
        <w:rFonts w:ascii="Arial" w:eastAsia="Arial" w:hAnsi="Arial" w:cs="Arial"/>
        <w:sz w:val="22"/>
      </w:rPr>
      <w:t>L.D. 1353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68F5"/>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209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