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the Emergency Medical Services Stabilization and Sustainability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331 - L.D. 526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Laws Governing the Emergency Medical Services Stabilization and Sustainability Program</w:t>
      </w:r>
    </w:p>
    <w:p w:rsidR="009F2A34" w:rsidP="009F2A34">
      <w:pPr>
        <w:ind w:left="360"/>
        <w:rPr>
          <w:rFonts w:ascii="Arial" w:eastAsia="Arial" w:hAnsi="Arial" w:cs="Arial"/>
        </w:rPr>
      </w:pPr>
      <w:bookmarkStart w:id="0" w:name="_ENACTING_CLAUSE__68abae9f_f102_4103_95c"/>
      <w:bookmarkStart w:id="1" w:name="_PAR__1_d53bc8c7_622d_4e9f_9af4_761f9165"/>
      <w:bookmarkStart w:id="2" w:name="_DOC_BODY_CONTAINER__46e6052d_84b4_4391_"/>
      <w:r>
        <w:rPr>
          <w:rFonts w:ascii="Arial" w:eastAsia="Arial" w:hAnsi="Arial" w:cs="Arial"/>
          <w:b/>
        </w:rPr>
        <w:t>Be it enacted by the People of the State of Maine as follows:</w:t>
      </w:r>
    </w:p>
    <w:p w:rsidR="009F2A34" w:rsidP="009F2A34">
      <w:pPr>
        <w:ind w:left="360" w:firstLine="360"/>
        <w:rPr>
          <w:rFonts w:ascii="Arial" w:eastAsia="Arial" w:hAnsi="Arial" w:cs="Arial"/>
        </w:rPr>
      </w:pPr>
      <w:bookmarkStart w:id="3" w:name="_BILL_SECTION_HEADER__25fbfef3_71a5_4583"/>
      <w:bookmarkStart w:id="4" w:name="_BILL_SECTION__85e6ee3e_c2ad_42ea_978b_c"/>
      <w:bookmarkStart w:id="5" w:name="_INSTRUCTION__e4a60d32_a086_496f_89e2_8e"/>
      <w:bookmarkStart w:id="6" w:name="_DOC_BODY_CONTENT__dcdd64d6_5d0d_46c5_8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ddf5b43_e7ef_422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32 MRSA §98, sub-§1, ¶B,</w:t>
      </w:r>
      <w:r>
        <w:rPr>
          <w:rFonts w:ascii="Arial" w:eastAsia="Arial" w:hAnsi="Arial" w:cs="Arial"/>
        </w:rPr>
        <w:t xml:space="preserve"> as enacted by PL 2023, c. 412, Pt. GGGGG, §1, is amended to read:</w:t>
      </w:r>
    </w:p>
    <w:p w:rsidR="00000000" w:rsidP="009F2A34">
      <w:pPr>
        <w:ind w:left="720"/>
        <w:rPr>
          <w:rFonts w:ascii="Arial" w:eastAsia="Arial" w:hAnsi="Arial" w:cs="Arial"/>
        </w:rPr>
      </w:pPr>
      <w:bookmarkStart w:id="8" w:name="_STATUTE_NUMBER__fc2b5a28_169b_4e90_8109"/>
      <w:bookmarkStart w:id="9" w:name="_STATUTE_P__95ac080d_123c_4540_9f65_2dcc"/>
      <w:bookmarkEnd w:id="3"/>
      <w:r>
        <w:rPr>
          <w:rFonts w:ascii="Arial" w:eastAsia="Arial" w:hAnsi="Arial" w:cs="Arial"/>
        </w:rPr>
        <w:t>B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bd238fff_16e3_4c56_8fd"/>
      <w:r>
        <w:rPr>
          <w:rFonts w:ascii="Arial" w:eastAsia="Arial" w:hAnsi="Arial" w:cs="Arial"/>
        </w:rPr>
        <w:t>"Emergency medical services entity" means</w:t>
      </w:r>
      <w:bookmarkStart w:id="11" w:name="_REV__722b906e_1793_4bea_977b_5ebb0c546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 nonprofit or for-profit</w:t>
      </w:r>
      <w:bookmarkStart w:id="12" w:name="_REV__2a912e32_156f_4e20_9904_f222db5b26"/>
      <w:bookmarkEnd w:id="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bookmarkEnd w:id="12"/>
      <w:r>
        <w:rPr>
          <w:rFonts w:ascii="Arial" w:eastAsia="Arial" w:hAnsi="Arial" w:cs="Arial"/>
        </w:rPr>
        <w:t xml:space="preserve"> ambulance service or nontransporting emergency medical service or emergency medical services training center licensed under this chapter or a regional council.</w:t>
      </w:r>
      <w:bookmarkEnd w:id="10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LR0932, item 7 - 131st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the Emergency Medical Services Stabilization and Sustainability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2A34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