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 Generated by Aspose.Words for .NET 21.11.0 -->
  <w:body>
    <w:p>
      <w:pPr>
        <w:jc w:val="center"/>
        <w:rPr>
          <w:rFonts w:ascii="Arial" w:eastAsia="Arial" w:hAnsi="Arial" w:cs="Arial"/>
        </w:rPr>
      </w:pPr>
      <w:r>
        <w:rPr>
          <w:rFonts w:ascii="Arial" w:eastAsia="Arial" w:hAnsi="Arial" w:cs="Arial"/>
          <w:b/>
          <w:sz w:val="28"/>
        </w:rPr>
        <w:t>Resolve, Directing the Department of Education to Review Personal Finance Course Offerings in Maine Schools and Convene a Working Group of Relevant Stakeholders</w:t>
      </w:r>
    </w:p>
    <w:p>
      <w:pPr>
        <w:spacing w:before="100" w:after="100" w:line="360" w:lineRule="auto"/>
        <w:ind w:left="360"/>
        <w:jc w:val="both"/>
        <w:rPr>
          <w:rFonts w:ascii="Arial" w:eastAsia="Arial" w:hAnsi="Arial" w:cs="Arial"/>
          <w:b/>
          <w:szCs w:val="20"/>
        </w:rPr>
      </w:pPr>
    </w:p>
    <w:p>
      <w:pPr>
        <w:keepNext/>
        <w:spacing w:before="100" w:after="100" w:line="360" w:lineRule="auto"/>
        <w:ind w:left="1080" w:right="720"/>
        <w:jc w:val="center"/>
        <w:rPr>
          <w:rFonts w:ascii="Arial" w:eastAsia="Arial" w:hAnsi="Arial" w:cs="Arial"/>
          <w:b/>
          <w:bCs/>
          <w:caps/>
          <w:sz w:val="24"/>
          <w:szCs w:val="32"/>
        </w:rPr>
      </w:pPr>
      <w:r>
        <w:rPr>
          <w:rFonts w:ascii="Arial" w:eastAsia="Arial" w:hAnsi="Arial" w:cs="Arial"/>
          <w:b/>
          <w:bCs/>
          <w:caps/>
          <w:sz w:val="24"/>
          <w:szCs w:val="32"/>
        </w:rPr>
        <w:t>STATE OF MAINE</w:t>
      </w:r>
    </w:p>
    <w:p>
      <w:pPr>
        <w:keepNext/>
        <w:spacing w:before="100" w:after="100" w:line="360" w:lineRule="auto"/>
        <w:ind w:left="1080" w:right="720"/>
        <w:jc w:val="center"/>
        <w:rPr>
          <w:rFonts w:ascii="Arial" w:eastAsia="Arial" w:hAnsi="Arial" w:cs="Arial"/>
          <w:b/>
          <w:bCs/>
          <w:caps/>
          <w:sz w:val="24"/>
          <w:szCs w:val="32"/>
        </w:rPr>
      </w:pPr>
      <w:r>
        <w:rPr>
          <w:rFonts w:ascii="Arial" w:eastAsia="Arial" w:hAnsi="Arial" w:cs="Arial"/>
          <w:b/>
          <w:bCs/>
          <w:caps/>
          <w:sz w:val="24"/>
          <w:szCs w:val="32"/>
        </w:rPr>
        <w:t>_____</w:t>
      </w:r>
    </w:p>
    <w:p>
      <w:pPr>
        <w:keepNext/>
        <w:spacing w:before="100" w:after="100" w:line="360" w:lineRule="auto"/>
        <w:ind w:left="1080" w:right="720"/>
        <w:jc w:val="center"/>
        <w:rPr>
          <w:rFonts w:ascii="Arial" w:eastAsia="Arial" w:hAnsi="Arial" w:cs="Arial"/>
          <w:b/>
          <w:bCs/>
          <w:caps/>
          <w:sz w:val="24"/>
          <w:szCs w:val="32"/>
        </w:rPr>
      </w:pPr>
      <w:r>
        <w:rPr>
          <w:rFonts w:ascii="Arial" w:eastAsia="Arial" w:hAnsi="Arial" w:cs="Arial"/>
          <w:b/>
          <w:bCs/>
          <w:caps/>
          <w:sz w:val="24"/>
          <w:szCs w:val="32"/>
        </w:rPr>
        <w:t>IN THE YEAR OF OUR LORD</w:t>
      </w:r>
    </w:p>
    <w:p>
      <w:pPr>
        <w:keepNext/>
        <w:spacing w:before="100" w:after="100" w:line="360" w:lineRule="auto"/>
        <w:ind w:left="1080" w:right="720"/>
        <w:jc w:val="center"/>
        <w:rPr>
          <w:rFonts w:ascii="Arial" w:eastAsia="Arial" w:hAnsi="Arial" w:cs="Arial"/>
          <w:b/>
          <w:bCs/>
          <w:caps/>
          <w:sz w:val="24"/>
          <w:szCs w:val="32"/>
        </w:rPr>
      </w:pPr>
      <w:r>
        <w:rPr>
          <w:rFonts w:ascii="Arial" w:eastAsia="Arial" w:hAnsi="Arial" w:cs="Arial"/>
          <w:b/>
          <w:bCs/>
          <w:caps/>
          <w:sz w:val="24"/>
          <w:szCs w:val="32"/>
        </w:rPr>
        <w:t>Two Thousand Twenty-five</w:t>
      </w:r>
    </w:p>
    <w:p>
      <w:pPr>
        <w:keepNext/>
        <w:spacing w:before="100" w:after="100" w:line="240" w:lineRule="auto"/>
        <w:ind w:left="1080" w:right="720"/>
        <w:jc w:val="center"/>
        <w:rPr>
          <w:rFonts w:ascii="Arial" w:eastAsia="Arial" w:hAnsi="Arial" w:cs="Arial"/>
          <w:b/>
          <w:bCs/>
          <w:caps/>
          <w:sz w:val="24"/>
          <w:szCs w:val="32"/>
        </w:rPr>
      </w:pPr>
      <w:r>
        <w:rPr>
          <w:rFonts w:ascii="Arial" w:eastAsia="Arial" w:hAnsi="Arial" w:cs="Arial"/>
          <w:b/>
          <w:bCs/>
          <w:caps/>
          <w:sz w:val="24"/>
          <w:szCs w:val="32"/>
        </w:rPr>
        <w:t>_____</w:t>
      </w:r>
    </w:p>
    <w:p>
      <w:pPr>
        <w:spacing w:after="100" w:line="360" w:lineRule="auto"/>
        <w:ind w:left="360"/>
        <w:jc w:val="center"/>
        <w:rPr>
          <w:rFonts w:ascii="Arial" w:eastAsia="Arial" w:hAnsi="Arial" w:cs="Arial"/>
          <w:b/>
          <w:caps/>
          <w:sz w:val="24"/>
          <w:szCs w:val="20"/>
        </w:rPr>
      </w:pPr>
      <w:r>
        <w:rPr>
          <w:rFonts w:ascii="Arial" w:eastAsia="Arial" w:hAnsi="Arial" w:cs="Arial"/>
          <w:b/>
          <w:caps/>
          <w:sz w:val="24"/>
          <w:szCs w:val="20"/>
        </w:rPr>
        <w:t>S.P. 454 - L.D. 1069</w:t>
      </w:r>
    </w:p>
    <w:p>
      <w:pPr>
        <w:spacing w:before="240" w:after="240" w:line="240" w:lineRule="auto"/>
        <w:ind w:left="360"/>
        <w:jc w:val="center"/>
        <w:rPr>
          <w:rFonts w:ascii="Arial" w:eastAsia="Arial" w:hAnsi="Arial" w:cs="Arial"/>
          <w:b/>
          <w:bCs/>
          <w:kern w:val="28"/>
          <w:sz w:val="24"/>
          <w:szCs w:val="32"/>
        </w:rPr>
      </w:pPr>
      <w:r>
        <w:rPr>
          <w:rFonts w:ascii="Arial" w:eastAsia="Arial" w:hAnsi="Arial" w:cs="Arial"/>
          <w:b/>
          <w:bCs/>
          <w:kern w:val="28"/>
          <w:sz w:val="24"/>
          <w:szCs w:val="32"/>
        </w:rPr>
        <w:t>Resolve, Directing the Department of Education to Review Personal Finance Course Offerings in Maine Schools and Convene a Working Group of Relevant Stakeholders</w:t>
      </w:r>
    </w:p>
    <w:p w:rsidR="000C2884" w:rsidP="000C2884">
      <w:pPr>
        <w:ind w:left="360" w:firstLine="360"/>
        <w:rPr>
          <w:rFonts w:ascii="Arial" w:eastAsia="Arial" w:hAnsi="Arial" w:cs="Arial"/>
        </w:rPr>
      </w:pPr>
      <w:bookmarkStart w:id="0" w:name="_BILL_SECTION_UNALLOCATED__9da97928_76fb"/>
      <w:bookmarkStart w:id="1" w:name="_INSTRUCTION__49fd9dd0_f2e4_403e_bb8c_34"/>
      <w:bookmarkStart w:id="2" w:name="_DOC_BODY_CONTENT__87a3019a_3bb3_4a61_ac"/>
      <w:bookmarkStart w:id="3" w:name="_DOC_BODY_CONTAINER__7a242a12_d3e2_48cc_"/>
      <w:r w:rsidRPr="000B3E3F">
        <w:rPr>
          <w:rFonts w:ascii="Arial" w:eastAsia="Arial" w:hAnsi="Arial" w:cs="Arial"/>
          <w:b/>
          <w:sz w:val="24"/>
        </w:rPr>
        <w:t xml:space="preserve">Sec. </w:t>
      </w:r>
      <w:bookmarkStart w:id="4" w:name="_BILL_SECTION_NUMBER__ea6739db_6788_44ed"/>
      <w:r w:rsidRPr="000B3E3F">
        <w:rPr>
          <w:rFonts w:ascii="Arial" w:eastAsia="Arial" w:hAnsi="Arial" w:cs="Arial"/>
          <w:b/>
          <w:sz w:val="24"/>
        </w:rPr>
        <w:t>1</w:t>
      </w:r>
      <w:bookmarkEnd w:id="4"/>
      <w:r w:rsidRPr="000B3E3F">
        <w:rPr>
          <w:rFonts w:ascii="Arial" w:eastAsia="Arial" w:hAnsi="Arial" w:cs="Arial"/>
          <w:b/>
          <w:sz w:val="24"/>
        </w:rPr>
        <w:t>.  Personal finance; school survey. Resolved:</w:t>
      </w:r>
      <w:r>
        <w:rPr>
          <w:rFonts w:ascii="Arial" w:eastAsia="Arial" w:hAnsi="Arial" w:cs="Arial"/>
        </w:rPr>
        <w:t xml:space="preserve">  That the Department of Education shall administer a survey to all school administrative units in the State to collect data and information on the status of personal finance education in schools.  The survey must include, but is not limited to:</w:t>
      </w:r>
    </w:p>
    <w:p w:rsidR="000C2884" w:rsidP="000C2884">
      <w:pPr>
        <w:ind w:left="360" w:firstLine="360"/>
        <w:rPr>
          <w:rFonts w:ascii="Arial" w:eastAsia="Arial" w:hAnsi="Arial" w:cs="Arial"/>
        </w:rPr>
      </w:pPr>
      <w:r>
        <w:rPr>
          <w:rFonts w:ascii="Arial" w:eastAsia="Arial" w:hAnsi="Arial" w:cs="Arial"/>
        </w:rPr>
        <w:t>1. Whether personal finance is taught as a discrete course or the personal finance standards contained in the statewide system of learning results, as established in the Maine Revised Statutes, Title 20-A, section 6209, are integrated into other social studies courses;</w:t>
      </w:r>
    </w:p>
    <w:p w:rsidR="000C2884" w:rsidP="000C2884">
      <w:pPr>
        <w:ind w:left="360" w:firstLine="360"/>
        <w:rPr>
          <w:rFonts w:ascii="Arial" w:eastAsia="Arial" w:hAnsi="Arial" w:cs="Arial"/>
        </w:rPr>
      </w:pPr>
      <w:r>
        <w:rPr>
          <w:rFonts w:ascii="Arial" w:eastAsia="Arial" w:hAnsi="Arial" w:cs="Arial"/>
        </w:rPr>
        <w:t>2. If personal finance is not taught as a discrete course, the name and curriculum of the courses into which personal finance learning standards are integrated;</w:t>
      </w:r>
    </w:p>
    <w:p w:rsidR="000C2884" w:rsidP="000C2884">
      <w:pPr>
        <w:ind w:left="360" w:firstLine="360"/>
        <w:rPr>
          <w:rFonts w:ascii="Arial" w:eastAsia="Arial" w:hAnsi="Arial" w:cs="Arial"/>
        </w:rPr>
      </w:pPr>
      <w:r>
        <w:rPr>
          <w:rFonts w:ascii="Arial" w:eastAsia="Arial" w:hAnsi="Arial" w:cs="Arial"/>
        </w:rPr>
        <w:t xml:space="preserve">3. To which grade levels discrete personal finance courses are offered; and </w:t>
      </w:r>
    </w:p>
    <w:p w:rsidR="000C2884" w:rsidP="000C2884">
      <w:pPr>
        <w:ind w:left="360" w:firstLine="360"/>
        <w:rPr>
          <w:rFonts w:ascii="Arial" w:eastAsia="Arial" w:hAnsi="Arial" w:cs="Arial"/>
        </w:rPr>
      </w:pPr>
      <w:r>
        <w:rPr>
          <w:rFonts w:ascii="Arial" w:eastAsia="Arial" w:hAnsi="Arial" w:cs="Arial"/>
        </w:rPr>
        <w:t>4. The number of students enrolled in discrete personal finance courses and the number of instructional hours those students receive in personal finance.</w:t>
      </w:r>
    </w:p>
    <w:p w:rsidR="000C2884" w:rsidP="000C2884">
      <w:pPr>
        <w:ind w:left="360" w:firstLine="360"/>
        <w:rPr>
          <w:rFonts w:ascii="Arial" w:eastAsia="Arial" w:hAnsi="Arial" w:cs="Arial"/>
        </w:rPr>
      </w:pPr>
      <w:r>
        <w:rPr>
          <w:rFonts w:ascii="Arial" w:eastAsia="Arial" w:hAnsi="Arial" w:cs="Arial"/>
        </w:rPr>
        <w:t>The Department of Education shall submit a report based on the results of the survey to the Joint Standing Committee on Education and Cultural Affairs no later than January 15, 2026.</w:t>
      </w:r>
    </w:p>
    <w:p w:rsidR="000C2884" w:rsidP="000C2884">
      <w:pPr>
        <w:ind w:left="360" w:firstLine="360"/>
        <w:rPr>
          <w:rFonts w:ascii="Arial" w:eastAsia="Arial" w:hAnsi="Arial" w:cs="Arial"/>
        </w:rPr>
      </w:pPr>
      <w:bookmarkStart w:id="5" w:name="_BILL_SECTION_UNALLOCATED__225a33f3_cbbd"/>
      <w:bookmarkEnd w:id="0"/>
      <w:r w:rsidRPr="000B3E3F">
        <w:rPr>
          <w:rFonts w:ascii="Arial" w:eastAsia="Arial" w:hAnsi="Arial" w:cs="Arial"/>
          <w:b/>
          <w:sz w:val="24"/>
        </w:rPr>
        <w:t xml:space="preserve">Sec. </w:t>
      </w:r>
      <w:bookmarkStart w:id="6" w:name="_BILL_SECTION_NUMBER__690d4331_516c_4767"/>
      <w:r w:rsidRPr="000B3E3F">
        <w:rPr>
          <w:rFonts w:ascii="Arial" w:eastAsia="Arial" w:hAnsi="Arial" w:cs="Arial"/>
          <w:b/>
          <w:sz w:val="24"/>
        </w:rPr>
        <w:t>2</w:t>
      </w:r>
      <w:bookmarkEnd w:id="6"/>
      <w:r w:rsidRPr="000B3E3F">
        <w:rPr>
          <w:rFonts w:ascii="Arial" w:eastAsia="Arial" w:hAnsi="Arial" w:cs="Arial"/>
          <w:b/>
          <w:sz w:val="24"/>
        </w:rPr>
        <w:t xml:space="preserve">.  Working group. Resolved:  </w:t>
      </w:r>
      <w:r>
        <w:rPr>
          <w:rFonts w:ascii="Arial" w:eastAsia="Arial" w:hAnsi="Arial" w:cs="Arial"/>
        </w:rPr>
        <w:t>That, beginning in January 2026, the Department of Education shall convene a working group of relevant stakeholders to develop recommendations on increasing accessibility to personal finance education to students in the State of all grade levels based on the findings of the report developed pursuant to section 1.  The working group must examine professional development, curriculum resources, instructional time, staffing and any other supports the working group considers necessary to expand and strengthen personal finance instruction in school administrative units.  The membership of the working group must include, but is not limited to:</w:t>
      </w:r>
    </w:p>
    <w:p w:rsidR="000C2884" w:rsidP="000C2884">
      <w:pPr>
        <w:ind w:left="360" w:firstLine="360"/>
        <w:rPr>
          <w:rFonts w:ascii="Arial" w:eastAsia="Arial" w:hAnsi="Arial" w:cs="Arial"/>
        </w:rPr>
      </w:pPr>
      <w:r>
        <w:rPr>
          <w:rFonts w:ascii="Arial" w:eastAsia="Arial" w:hAnsi="Arial" w:cs="Arial"/>
        </w:rPr>
        <w:t>1. One member representing the Finance Authority of Maine;</w:t>
      </w:r>
    </w:p>
    <w:p w:rsidR="000C2884" w:rsidP="000C2884">
      <w:pPr>
        <w:ind w:left="360" w:firstLine="360"/>
        <w:rPr>
          <w:rFonts w:ascii="Arial" w:eastAsia="Arial" w:hAnsi="Arial" w:cs="Arial"/>
        </w:rPr>
      </w:pPr>
      <w:r>
        <w:rPr>
          <w:rFonts w:ascii="Arial" w:eastAsia="Arial" w:hAnsi="Arial" w:cs="Arial"/>
        </w:rPr>
        <w:t xml:space="preserve">2. One member representing the Maine Jump$tart Coalition for Personal Financial Literacy; </w:t>
      </w:r>
    </w:p>
    <w:p w:rsidR="000C2884" w:rsidP="000C2884">
      <w:pPr>
        <w:ind w:left="360" w:firstLine="360"/>
        <w:rPr>
          <w:rFonts w:ascii="Arial" w:eastAsia="Arial" w:hAnsi="Arial" w:cs="Arial"/>
        </w:rPr>
      </w:pPr>
      <w:r>
        <w:rPr>
          <w:rFonts w:ascii="Arial" w:eastAsia="Arial" w:hAnsi="Arial" w:cs="Arial"/>
        </w:rPr>
        <w:t>3. At least 3 teachers employed in school administrative units in the State who teach personal finance subject matter; and</w:t>
      </w:r>
    </w:p>
    <w:p w:rsidR="000C2884" w:rsidP="000C2884">
      <w:pPr>
        <w:ind w:left="360" w:firstLine="360"/>
        <w:rPr>
          <w:rFonts w:ascii="Arial" w:eastAsia="Arial" w:hAnsi="Arial" w:cs="Arial"/>
        </w:rPr>
      </w:pPr>
      <w:r>
        <w:rPr>
          <w:rFonts w:ascii="Arial" w:eastAsia="Arial" w:hAnsi="Arial" w:cs="Arial"/>
        </w:rPr>
        <w:t xml:space="preserve">4. One member representing the Maine Education Association. </w:t>
      </w:r>
    </w:p>
    <w:p w:rsidR="000C2884" w:rsidP="000C2884">
      <w:pPr>
        <w:ind w:left="360" w:firstLine="360"/>
        <w:rPr>
          <w:rFonts w:ascii="Arial" w:eastAsia="Arial" w:hAnsi="Arial" w:cs="Arial"/>
        </w:rPr>
      </w:pPr>
      <w:r>
        <w:rPr>
          <w:rFonts w:ascii="Arial" w:eastAsia="Arial" w:hAnsi="Arial" w:cs="Arial"/>
        </w:rPr>
        <w:t xml:space="preserve">The Department of Education shall submit a report based on the findings and recommendations of the working group to the Joint Standing Committee on Education and Cultural Affairs no later than March 1, 2026. </w:t>
      </w:r>
    </w:p>
    <w:p w:rsidR="000C2884" w:rsidP="000C2884">
      <w:pPr>
        <w:ind w:left="360" w:firstLine="360"/>
        <w:rPr>
          <w:rFonts w:ascii="Arial" w:eastAsia="Arial" w:hAnsi="Arial" w:cs="Arial"/>
        </w:rPr>
      </w:pPr>
      <w:bookmarkStart w:id="7" w:name="_APPROP_SECTION__f4012a20_6d0c_4e0f_9c75"/>
      <w:bookmarkStart w:id="8" w:name="_INSTRUCTION__faed5b4f_1cca_40f8_afe2_5d"/>
      <w:bookmarkEnd w:id="5"/>
      <w:r>
        <w:rPr>
          <w:rFonts w:ascii="Arial" w:eastAsia="Arial" w:hAnsi="Arial" w:cs="Arial"/>
          <w:b/>
          <w:sz w:val="24"/>
        </w:rPr>
        <w:t xml:space="preserve">Sec. </w:t>
      </w:r>
      <w:bookmarkStart w:id="9" w:name="_BILL_SECTION_NUMBER__af3fa871_11f3_4bcf"/>
      <w:r>
        <w:rPr>
          <w:rFonts w:ascii="Arial" w:eastAsia="Arial" w:hAnsi="Arial" w:cs="Arial"/>
          <w:b/>
          <w:sz w:val="24"/>
        </w:rPr>
        <w:t>3</w:t>
      </w:r>
      <w:bookmarkEnd w:id="9"/>
      <w:r>
        <w:rPr>
          <w:rFonts w:ascii="Arial" w:eastAsia="Arial" w:hAnsi="Arial" w:cs="Arial"/>
          <w:b/>
          <w:sz w:val="24"/>
        </w:rPr>
        <w:t>.  Appropriations and allocations.  Resolved:</w:t>
      </w:r>
      <w:r>
        <w:rPr>
          <w:rFonts w:ascii="Arial" w:eastAsia="Arial" w:hAnsi="Arial" w:cs="Arial"/>
        </w:rPr>
        <w:t>  That the following appropriations and allocations are made.</w:t>
      </w:r>
    </w:p>
    <w:p w:rsidR="000C2884" w:rsidP="000C2884">
      <w:pPr>
        <w:pStyle w:val="BPSParagraphLeftAlign"/>
        <w:suppressAutoHyphens/>
        <w:ind w:left="360"/>
        <w:rPr>
          <w:rFonts w:ascii="Arial" w:eastAsia="Arial" w:hAnsi="Arial" w:cs="Arial"/>
        </w:rPr>
      </w:pPr>
      <w:r>
        <w:rPr>
          <w:rFonts w:ascii="Arial" w:eastAsia="Arial" w:hAnsi="Arial" w:cs="Arial"/>
          <w:b/>
        </w:rPr>
        <w:t>EDUCATION, DEPARTMENT OF</w:t>
      </w:r>
    </w:p>
    <w:p w:rsidR="000C2884" w:rsidP="000C2884">
      <w:pPr>
        <w:pStyle w:val="BPSParagraphLeftAlign"/>
        <w:suppressAutoHyphens/>
        <w:ind w:left="360"/>
        <w:rPr>
          <w:rFonts w:ascii="Arial" w:eastAsia="Arial" w:hAnsi="Arial" w:cs="Arial"/>
        </w:rPr>
      </w:pPr>
      <w:r>
        <w:rPr>
          <w:rFonts w:ascii="Arial" w:eastAsia="Arial" w:hAnsi="Arial" w:cs="Arial"/>
          <w:b/>
        </w:rPr>
        <w:t>Innovative Teaching and Learning Z394</w:t>
      </w:r>
    </w:p>
    <w:p w:rsidR="000C2884" w:rsidP="000C2884">
      <w:pPr>
        <w:ind w:left="360"/>
        <w:rPr>
          <w:rFonts w:ascii="Arial" w:eastAsia="Arial" w:hAnsi="Arial" w:cs="Arial"/>
        </w:rPr>
      </w:pPr>
      <w:r>
        <w:rPr>
          <w:rFonts w:ascii="Arial" w:eastAsia="Arial" w:hAnsi="Arial" w:cs="Arial"/>
        </w:rPr>
        <w:t>Initiative: Provides one-time funds in fiscal year 2025-26 to support the working group established to develop recommendations on increasing accessibility to personal finance education to students of all grade levels in the State.</w:t>
      </w:r>
    </w:p>
    <w:tbl>
      <w:tblPr>
        <w:tblStyle w:val="BPSTable"/>
        <w:tblW w:w="0" w:type="auto"/>
        <w:tblInd w:w="360" w:type="dxa"/>
        <w:tblCellMar>
          <w:left w:w="0" w:type="dxa"/>
          <w:right w:w="0" w:type="dxa"/>
        </w:tblCellMar>
        <w:tblLook w:val="04A0"/>
      </w:tblPr>
      <w:tblGrid>
        <w:gridCol w:w="5009"/>
        <w:gridCol w:w="1463"/>
        <w:gridCol w:w="1463"/>
      </w:tblGrid>
      <w:tr w:rsidTr="00CD52FE">
        <w:tblPrEx>
          <w:tblW w:w="0" w:type="auto"/>
          <w:tblInd w:w="360" w:type="dxa"/>
          <w:tblCellMar>
            <w:left w:w="0" w:type="dxa"/>
            <w:right w:w="0" w:type="dxa"/>
          </w:tblCellMar>
          <w:tblLook w:val="04A0"/>
        </w:tblPrEx>
        <w:tc>
          <w:tcPr>
            <w:tcW w:w="5069" w:type="dxa"/>
          </w:tcPr>
          <w:p w:rsidR="000C2884" w:rsidP="00CD52FE">
            <w:pPr>
              <w:rPr>
                <w:rFonts w:ascii="Arial" w:eastAsia="Arial" w:hAnsi="Arial" w:cs="Arial"/>
              </w:rPr>
            </w:pPr>
            <w:r>
              <w:rPr>
                <w:rFonts w:ascii="Arial" w:eastAsia="Arial" w:hAnsi="Arial" w:cs="Arial"/>
                <w:b/>
              </w:rPr>
              <w:t>GENERAL FUND</w:t>
            </w:r>
          </w:p>
        </w:tc>
        <w:tc>
          <w:tcPr>
            <w:tcW w:w="1469" w:type="dxa"/>
          </w:tcPr>
          <w:p w:rsidR="000C2884" w:rsidP="00CD52FE">
            <w:pPr>
              <w:jc w:val="right"/>
              <w:rPr>
                <w:rFonts w:ascii="Arial" w:eastAsia="Arial" w:hAnsi="Arial" w:cs="Arial"/>
              </w:rPr>
            </w:pPr>
            <w:r>
              <w:rPr>
                <w:rFonts w:ascii="Arial" w:eastAsia="Arial" w:hAnsi="Arial" w:cs="Arial"/>
                <w:b/>
              </w:rPr>
              <w:t>2025-26</w:t>
            </w:r>
          </w:p>
        </w:tc>
        <w:tc>
          <w:tcPr>
            <w:tcW w:w="1469" w:type="dxa"/>
          </w:tcPr>
          <w:p w:rsidR="000C2884" w:rsidP="00CD52FE">
            <w:pPr>
              <w:jc w:val="right"/>
              <w:rPr>
                <w:rFonts w:ascii="Arial" w:eastAsia="Arial" w:hAnsi="Arial" w:cs="Arial"/>
              </w:rPr>
            </w:pPr>
            <w:r>
              <w:rPr>
                <w:rFonts w:ascii="Arial" w:eastAsia="Arial" w:hAnsi="Arial" w:cs="Arial"/>
                <w:b/>
              </w:rPr>
              <w:t>2026-27</w:t>
            </w:r>
          </w:p>
        </w:tc>
      </w:tr>
      <w:tr w:rsidTr="00CD52FE">
        <w:tblPrEx>
          <w:tblW w:w="0" w:type="auto"/>
          <w:tblInd w:w="360" w:type="dxa"/>
          <w:tblCellMar>
            <w:left w:w="0" w:type="dxa"/>
            <w:right w:w="0" w:type="dxa"/>
          </w:tblCellMar>
          <w:tblLook w:val="04A0"/>
        </w:tblPrEx>
        <w:tc>
          <w:tcPr>
            <w:tcW w:w="5069" w:type="dxa"/>
          </w:tcPr>
          <w:p w:rsidR="000C2884" w:rsidP="00CD52FE">
            <w:pPr>
              <w:ind w:left="180"/>
              <w:rPr>
                <w:rFonts w:ascii="Arial" w:eastAsia="Arial" w:hAnsi="Arial" w:cs="Arial"/>
              </w:rPr>
            </w:pPr>
            <w:r>
              <w:rPr>
                <w:rFonts w:ascii="Arial" w:eastAsia="Arial" w:hAnsi="Arial" w:cs="Arial"/>
              </w:rPr>
              <w:t>All Other</w:t>
            </w:r>
          </w:p>
        </w:tc>
        <w:tc>
          <w:tcPr>
            <w:tcW w:w="1469" w:type="dxa"/>
          </w:tcPr>
          <w:p w:rsidR="000C2884" w:rsidP="00CD52FE">
            <w:pPr>
              <w:jc w:val="right"/>
              <w:rPr>
                <w:rFonts w:ascii="Arial" w:eastAsia="Arial" w:hAnsi="Arial" w:cs="Arial"/>
              </w:rPr>
            </w:pPr>
            <w:r>
              <w:rPr>
                <w:rFonts w:ascii="Arial" w:eastAsia="Arial" w:hAnsi="Arial" w:cs="Arial"/>
              </w:rPr>
              <w:t>$15,000</w:t>
            </w:r>
          </w:p>
        </w:tc>
        <w:tc>
          <w:tcPr>
            <w:tcW w:w="1469" w:type="dxa"/>
          </w:tcPr>
          <w:p w:rsidR="000C2884" w:rsidP="00CD52FE">
            <w:pPr>
              <w:jc w:val="right"/>
              <w:rPr>
                <w:rFonts w:ascii="Arial" w:eastAsia="Arial" w:hAnsi="Arial" w:cs="Arial"/>
              </w:rPr>
            </w:pPr>
            <w:r>
              <w:rPr>
                <w:rFonts w:ascii="Arial" w:eastAsia="Arial" w:hAnsi="Arial" w:cs="Arial"/>
              </w:rPr>
              <w:t>$0</w:t>
            </w:r>
          </w:p>
        </w:tc>
      </w:tr>
      <w:tr w:rsidTr="00CD52FE">
        <w:tblPrEx>
          <w:tblW w:w="0" w:type="auto"/>
          <w:tblInd w:w="360" w:type="dxa"/>
          <w:tblCellMar>
            <w:left w:w="0" w:type="dxa"/>
            <w:right w:w="0" w:type="dxa"/>
          </w:tblCellMar>
          <w:tblLook w:val="04A0"/>
        </w:tblPrEx>
        <w:tc>
          <w:tcPr>
            <w:tcW w:w="5069" w:type="dxa"/>
          </w:tcPr>
          <w:p w:rsidR="000C2884" w:rsidP="00CD52FE">
            <w:pPr>
              <w:rPr>
                <w:rFonts w:ascii="Arial" w:eastAsia="Arial" w:hAnsi="Arial" w:cs="Arial"/>
              </w:rPr>
            </w:pPr>
            <w:r>
              <w:rPr>
                <w:rFonts w:ascii="Arial" w:eastAsia="Arial" w:hAnsi="Arial" w:cs="Arial"/>
              </w:rPr>
              <w:t xml:space="preserve"> </w:t>
            </w:r>
          </w:p>
        </w:tc>
        <w:tc>
          <w:tcPr>
            <w:tcW w:w="1469" w:type="dxa"/>
          </w:tcPr>
          <w:p w:rsidR="000C2884" w:rsidP="00CD52FE">
            <w:pPr>
              <w:jc w:val="right"/>
              <w:rPr>
                <w:rFonts w:ascii="Arial" w:eastAsia="Arial" w:hAnsi="Arial" w:cs="Arial"/>
              </w:rPr>
            </w:pPr>
            <w:r>
              <w:rPr>
                <w:rFonts w:ascii="Arial" w:eastAsia="Arial" w:hAnsi="Arial" w:cs="Arial"/>
              </w:rPr>
              <w:t>__________</w:t>
            </w:r>
          </w:p>
        </w:tc>
        <w:tc>
          <w:tcPr>
            <w:tcW w:w="1469" w:type="dxa"/>
          </w:tcPr>
          <w:p w:rsidR="000C2884" w:rsidP="00CD52FE">
            <w:pPr>
              <w:jc w:val="right"/>
              <w:rPr>
                <w:rFonts w:ascii="Arial" w:eastAsia="Arial" w:hAnsi="Arial" w:cs="Arial"/>
              </w:rPr>
            </w:pPr>
            <w:r>
              <w:rPr>
                <w:rFonts w:ascii="Arial" w:eastAsia="Arial" w:hAnsi="Arial" w:cs="Arial"/>
              </w:rPr>
              <w:t>__________</w:t>
            </w:r>
          </w:p>
        </w:tc>
      </w:tr>
      <w:tr w:rsidTr="00CD52FE">
        <w:tblPrEx>
          <w:tblW w:w="0" w:type="auto"/>
          <w:tblInd w:w="360" w:type="dxa"/>
          <w:tblCellMar>
            <w:left w:w="0" w:type="dxa"/>
            <w:right w:w="0" w:type="dxa"/>
          </w:tblCellMar>
          <w:tblLook w:val="04A0"/>
        </w:tblPrEx>
        <w:tc>
          <w:tcPr>
            <w:tcW w:w="5069" w:type="dxa"/>
          </w:tcPr>
          <w:p w:rsidR="000C2884" w:rsidP="00CD52FE">
            <w:pPr>
              <w:rPr>
                <w:rFonts w:ascii="Arial" w:eastAsia="Arial" w:hAnsi="Arial" w:cs="Arial"/>
              </w:rPr>
            </w:pPr>
            <w:r>
              <w:rPr>
                <w:rFonts w:ascii="Arial" w:eastAsia="Arial" w:hAnsi="Arial" w:cs="Arial"/>
              </w:rPr>
              <w:t>GENERAL FUND TOTAL</w:t>
            </w:r>
          </w:p>
        </w:tc>
        <w:tc>
          <w:tcPr>
            <w:tcW w:w="1469" w:type="dxa"/>
          </w:tcPr>
          <w:p w:rsidR="000C2884" w:rsidP="00CD52FE">
            <w:pPr>
              <w:jc w:val="right"/>
              <w:rPr>
                <w:rFonts w:ascii="Arial" w:eastAsia="Arial" w:hAnsi="Arial" w:cs="Arial"/>
              </w:rPr>
            </w:pPr>
            <w:r>
              <w:rPr>
                <w:rFonts w:ascii="Arial" w:eastAsia="Arial" w:hAnsi="Arial" w:cs="Arial"/>
              </w:rPr>
              <w:t>$15,000</w:t>
            </w:r>
          </w:p>
        </w:tc>
        <w:tc>
          <w:tcPr>
            <w:tcW w:w="1469" w:type="dxa"/>
          </w:tcPr>
          <w:p w:rsidR="000C2884" w:rsidP="00CD52FE">
            <w:pPr>
              <w:jc w:val="right"/>
              <w:rPr>
                <w:rFonts w:ascii="Arial" w:eastAsia="Arial" w:hAnsi="Arial" w:cs="Arial"/>
              </w:rPr>
            </w:pPr>
            <w:r>
              <w:rPr>
                <w:rFonts w:ascii="Arial" w:eastAsia="Arial" w:hAnsi="Arial" w:cs="Arial"/>
              </w:rPr>
              <w:t>$0</w:t>
            </w:r>
          </w:p>
        </w:tc>
      </w:tr>
      <w:bookmarkEnd w:id="1"/>
      <w:bookmarkEnd w:id="2"/>
      <w:bookmarkEnd w:id="3"/>
      <w:bookmarkEnd w:id="7"/>
      <w:bookmarkEnd w:id="8"/>
    </w:tbl>
    <w:p w:rsidR="00000000">
      <w:pPr>
        <w:rPr>
          <w:rFonts w:ascii="Arial" w:eastAsia="Arial" w:hAnsi="Arial" w:cs="Arial"/>
        </w:rPr>
      </w:pPr>
    </w:p>
    <w:sectPr>
      <w:headerReference w:type="default" r:id="rId4"/>
      <w:footerReference w:type="default" r:id="rId5"/>
      <w:type w:val="continuous"/>
      <w:pgSz w:w="12240" w:h="15840"/>
      <w:pgMar w:top="1468" w:right="720" w:bottom="2217" w:left="720" w:header="720" w:footer="720" w:gutter="0"/>
      <w:cols w:space="720"/>
      <w:formProt w:val="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suppressLineNumbers/>
      <w:jc w:val="center"/>
      <w:rPr>
        <w:rFonts w:ascii="Arial" w:eastAsia="Arial" w:hAnsi="Arial" w:cs="Arial"/>
      </w:rPr>
    </w:pPr>
    <w:r>
      <w:rPr>
        <w:rFonts w:ascii="Arial" w:eastAsia="Arial" w:hAnsi="Arial" w:cs="Arial"/>
        <w:snapToGrid w:val="0"/>
      </w:rPr>
      <w:t>LR1185, item 6 - 132nd Maine Legislature</w:t>
    </w:r>
    <w:r>
      <w:rPr>
        <w:rFonts w:ascii="Arial" w:eastAsia="Arial" w:hAnsi="Arial" w:cs="Arial"/>
        <w:snapToGrid w:val="0"/>
      </w:rPr>
      <w:t xml:space="preserve">, page </w:t>
    </w:r>
    <w:r>
      <w:rPr>
        <w:rFonts w:ascii="Arial" w:eastAsia="Arial" w:hAnsi="Arial" w:cs="Arial"/>
        <w:snapToGrid w:val="0"/>
      </w:rPr>
      <w:fldChar w:fldCharType="begin"/>
    </w:r>
    <w:r>
      <w:rPr>
        <w:rFonts w:ascii="Arial" w:eastAsia="Arial" w:hAnsi="Arial" w:cs="Arial"/>
        <w:snapToGrid w:val="0"/>
      </w:rPr>
      <w:instrText xml:space="preserve"> PAGE </w:instrText>
    </w:r>
    <w:r>
      <w:rPr>
        <w:rFonts w:ascii="Arial" w:eastAsia="Arial" w:hAnsi="Arial" w:cs="Arial"/>
        <w:snapToGrid w:val="0"/>
      </w:rPr>
      <w:fldChar w:fldCharType="separate"/>
    </w:r>
    <w:r>
      <w:rPr>
        <w:rFonts w:ascii="Arial" w:eastAsia="Arial" w:hAnsi="Arial" w:cs="Arial"/>
        <w:snapToGrid w:val="0"/>
      </w:rPr>
      <w:t>2</w:t>
    </w:r>
    <w:r>
      <w:rPr>
        <w:rFonts w:ascii="Arial" w:eastAsia="Arial" w:hAnsi="Arial" w:cs="Arial"/>
        <w:snapToGrid w:val="0"/>
      </w:rPr>
      <w:fldChar w:fldCharType="end"/>
    </w: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suppressLineNumbers/>
      <w:spacing w:before="0" w:after="0"/>
      <w:jc w:val="center"/>
      <w:rPr>
        <w:rFonts w:ascii="Arial" w:eastAsia="Arial" w:hAnsi="Arial" w:cs="Arial"/>
      </w:rPr>
    </w:pPr>
    <w:r>
      <w:rPr>
        <w:rFonts w:ascii="Arial" w:eastAsia="Arial" w:hAnsi="Arial" w:cs="Arial"/>
        <w:sz w:val="22"/>
      </w:rPr>
      <w:t>132nd Maine Legislature</w:t>
    </w:r>
  </w:p>
  <w:p>
    <w:pPr>
      <w:suppressLineNumbers/>
      <w:spacing w:before="0" w:after="0"/>
      <w:jc w:val="center"/>
      <w:rPr>
        <w:rFonts w:ascii="Arial" w:eastAsia="Arial" w:hAnsi="Arial" w:cs="Arial"/>
      </w:rPr>
    </w:pPr>
    <w:r>
      <w:rPr>
        <w:rFonts w:ascii="Arial" w:eastAsia="Arial" w:hAnsi="Arial" w:cs="Arial"/>
        <w:sz w:val="22"/>
      </w:rPr>
      <w:t>Resolve, Directing the Department of Education to Review Personal Finance Course Offerings in Maine Schools and Convene a Working Group of Relevant Stakeholders</w:t>
    </w:r>
  </w:p>
  <w:p>
    <w:pPr>
      <w:suppressLineNumbers/>
      <w:spacing w:before="0" w:after="0"/>
      <w:jc w:val="center"/>
      <w:rPr>
        <w:rFonts w:ascii="Arial" w:eastAsia="Arial" w:hAnsi="Arial" w:cs="Arial"/>
      </w:rPr>
    </w:pPr>
    <w:r>
      <w:rPr>
        <w:rFonts w:ascii="Arial" w:eastAsia="Arial" w:hAnsi="Arial" w:cs="Arial"/>
        <w:sz w:val="22"/>
      </w:rPr>
      <w:t>L.D. 1069</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D40C3"/>
    <w:rsid w:val="000370CD"/>
    <w:rsid w:val="00063BAD"/>
    <w:rsid w:val="000B3E3F"/>
    <w:rsid w:val="000C2884"/>
    <w:rsid w:val="0011558B"/>
    <w:rsid w:val="00142693"/>
    <w:rsid w:val="00166945"/>
    <w:rsid w:val="001A2BC9"/>
    <w:rsid w:val="001E1D8B"/>
    <w:rsid w:val="00257B1E"/>
    <w:rsid w:val="002A3C2A"/>
    <w:rsid w:val="002A3D55"/>
    <w:rsid w:val="002D357F"/>
    <w:rsid w:val="00361F3E"/>
    <w:rsid w:val="003D0121"/>
    <w:rsid w:val="003F2563"/>
    <w:rsid w:val="003F315D"/>
    <w:rsid w:val="00417176"/>
    <w:rsid w:val="00424146"/>
    <w:rsid w:val="004A4378"/>
    <w:rsid w:val="005500BF"/>
    <w:rsid w:val="005568B1"/>
    <w:rsid w:val="00564135"/>
    <w:rsid w:val="00574B75"/>
    <w:rsid w:val="00610E2A"/>
    <w:rsid w:val="00641982"/>
    <w:rsid w:val="006714D5"/>
    <w:rsid w:val="00695EDF"/>
    <w:rsid w:val="006D40C3"/>
    <w:rsid w:val="007D72C8"/>
    <w:rsid w:val="007F3B1E"/>
    <w:rsid w:val="00801F19"/>
    <w:rsid w:val="00806421"/>
    <w:rsid w:val="008A5943"/>
    <w:rsid w:val="0092322A"/>
    <w:rsid w:val="009367EC"/>
    <w:rsid w:val="0099722B"/>
    <w:rsid w:val="009B3D4F"/>
    <w:rsid w:val="009D6A0B"/>
    <w:rsid w:val="009E724F"/>
    <w:rsid w:val="009F6C9E"/>
    <w:rsid w:val="00A81643"/>
    <w:rsid w:val="00AA73FC"/>
    <w:rsid w:val="00B4353D"/>
    <w:rsid w:val="00B45FFB"/>
    <w:rsid w:val="00B5130C"/>
    <w:rsid w:val="00B97FEC"/>
    <w:rsid w:val="00BC0528"/>
    <w:rsid w:val="00BC3B30"/>
    <w:rsid w:val="00BE5DC0"/>
    <w:rsid w:val="00C6107B"/>
    <w:rsid w:val="00C61EAA"/>
    <w:rsid w:val="00CA163F"/>
    <w:rsid w:val="00CD52FE"/>
    <w:rsid w:val="00D0498F"/>
    <w:rsid w:val="00D1557D"/>
    <w:rsid w:val="00D36E27"/>
    <w:rsid w:val="00D4369F"/>
    <w:rsid w:val="00D72A6C"/>
    <w:rsid w:val="00DA6742"/>
    <w:rsid w:val="00DD425A"/>
    <w:rsid w:val="00E10467"/>
    <w:rsid w:val="00E229C6"/>
    <w:rsid w:val="00E25AE4"/>
    <w:rsid w:val="00E325CC"/>
    <w:rsid w:val="00E370EF"/>
    <w:rsid w:val="00E67BCF"/>
    <w:rsid w:val="00E70594"/>
    <w:rsid w:val="00EB7291"/>
    <w:rsid w:val="00F23B45"/>
    <w:rsid w:val="00F93201"/>
    <w:rsid w:val="00FD7066"/>
    <w:rsid w:val="00FE2C3D"/>
  </w:rsids>
  <m:mathPr>
    <m:mathFont m:val="Cambria Math"/>
  </m:mathPr>
  <w:themeFontLang w:val="en-US"/>
  <w:clrSchemeMapping w:bg1="light1" w:t1="dark1" w:bg2="light2" w:t2="dark2" w:accent1="accent1" w:accent2="accent2" w:accent3="accent3" w:accent4="accent4" w:accent5="accent5" w:accent6="accent6" w:hyperlink="hyperlink" w:followedHyperlink="followedHyperlink"/>
  <w15:chartTrackingRefBased/>
  <w15:docId w15:val="{10CCAC50-C463-4807-B32C-D784FF8E81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before="100" w:after="100"/>
        <w:jc w:val="both"/>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66945"/>
    <w:rPr>
      <w:rFonts w:ascii="Times New Roman" w:eastAsia="Times New Roman" w:hAnsi="Times New Roman" w:cs="Times New Roman"/>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BPSTable">
    <w:name w:val="BPS Table"/>
    <w:basedOn w:val="TableNormal"/>
    <w:rsid w:val="00EB7291"/>
    <w:pPr>
      <w:spacing w:before="0" w:after="0"/>
      <w:jc w:val="left"/>
    </w:pPr>
    <w:tblPr/>
    <w:trPr>
      <w:cantSplit/>
    </w:trPr>
  </w:style>
  <w:style w:type="paragraph" w:customStyle="1" w:styleId="BPSParagraphLeftAlign">
    <w:name w:val="BPS Paragraph Left Align"/>
    <w:basedOn w:val="Normal"/>
    <w:qFormat/>
    <w:pPr>
      <w:jc w:val="left"/>
    </w:pPr>
  </w:style>
  <w:style w:type="paragraph" w:styleId="Footer">
    <w:name w:val="footer"/>
    <w:basedOn w:val="Normal"/>
    <w:pPr>
      <w:tabs>
        <w:tab w:val="center" w:pos="3840"/>
      </w:tabs>
      <w:spacing w:before="200"/>
      <w:ind w:left="360"/>
    </w:pPr>
    <w:rPr>
      <w:sz w:val="18"/>
    </w:rPr>
  </w:style>
  <w:style w:type="character" w:styleId="LineNumber">
    <w:name w:val="line number"/>
    <w:basedOn w:val="DefaultParagraphFont"/>
    <w:uiPriority w:val="99"/>
    <w:semiHidden/>
    <w:unhideWhenUsed/>
    <w:rsid w:val="00B97FE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header" Target="header1.xml" /><Relationship Id="rId5" Type="http://schemas.openxmlformats.org/officeDocument/2006/relationships/footer" Target="footer1.xml" /><Relationship Id="rId6" Type="http://schemas.openxmlformats.org/officeDocument/2006/relationships/theme" Target="theme/theme1.xml" /><Relationship Id="rId7"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7</TotalTime>
  <Pages>5</Pages>
  <Words>2035</Words>
  <Characters>11600</Characters>
  <Application>Microsoft Office Word</Application>
  <DocSecurity>0</DocSecurity>
  <Lines>96</Lines>
  <Paragraphs>27</Paragraphs>
  <ScaleCrop>false</ScaleCrop>
  <HeadingPairs>
    <vt:vector size="2" baseType="variant">
      <vt:variant>
        <vt:lpstr>Title</vt:lpstr>
      </vt:variant>
      <vt:variant>
        <vt:i4>1</vt:i4>
      </vt:variant>
    </vt:vector>
  </HeadingPairs>
  <TitlesOfParts>
    <vt:vector size="1" baseType="lpstr">
      <vt:lpstr/>
    </vt:vector>
  </TitlesOfParts>
  <Company>Tallan</Company>
  <LinksUpToDate>false</LinksUpToDate>
  <CharactersWithSpaces>13608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BPS</cp:lastModifiedBy>
  <cp:revision>6</cp:revision>
  <dcterms:created xsi:type="dcterms:W3CDTF">2018-03-20T20:40:00Z</dcterms:created>
  <dcterms:modified xsi:type="dcterms:W3CDTF">2020-07-29T16:31:00Z</dcterms:modified>
</cp:coreProperties>
</file>