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Women Access to Affordable Postpartum Care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114 - L.D. 265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Provide Women Access to Affordable Postpartum Care</w:t>
      </w:r>
    </w:p>
    <w:p w:rsidR="00D821EA" w:rsidP="00D821EA">
      <w:pPr>
        <w:ind w:left="360"/>
        <w:rPr>
          <w:rFonts w:ascii="Arial" w:eastAsia="Arial" w:hAnsi="Arial" w:cs="Arial"/>
        </w:rPr>
      </w:pPr>
      <w:bookmarkStart w:id="0" w:name="_ENACTING_CLAUSE__59ed3b08_d605_43aa_96d"/>
      <w:bookmarkStart w:id="1" w:name="_PAR__1_ee82d67f_7b55_415e_bdc9_40b45ebc"/>
      <w:bookmarkStart w:id="2" w:name="_DOC_BODY_CONTAINER__56d3a7c8_464e_4eec_"/>
      <w:r>
        <w:rPr>
          <w:rFonts w:ascii="Arial" w:eastAsia="Arial" w:hAnsi="Arial" w:cs="Arial"/>
          <w:b/>
        </w:rPr>
        <w:t>Be it enacted by the People of the State of Maine as follows:</w:t>
      </w:r>
    </w:p>
    <w:p w:rsidR="00D821EA" w:rsidP="00D821EA">
      <w:pPr>
        <w:ind w:left="360" w:firstLine="360"/>
        <w:rPr>
          <w:rFonts w:ascii="Arial" w:eastAsia="Arial" w:hAnsi="Arial" w:cs="Arial"/>
        </w:rPr>
      </w:pPr>
      <w:bookmarkStart w:id="3" w:name="_BILL_SECTION_HEADER__9bd8f44d_95dd_4513"/>
      <w:bookmarkStart w:id="4" w:name="_BILL_SECTION__dbf8b950_5366_4749_a26c_8"/>
      <w:bookmarkStart w:id="5" w:name="_INSTRUCTION__472d9100_9051_4da6_b6c0_af"/>
      <w:bookmarkStart w:id="6" w:name="_DOC_BODY_CONTENT__82da8d60_8936_44c9_86"/>
      <w:bookmarkEnd w:id="0"/>
      <w:bookmarkEnd w:id="1"/>
      <w:r>
        <w:rPr>
          <w:rFonts w:ascii="Arial" w:eastAsia="Arial" w:hAnsi="Arial" w:cs="Arial"/>
          <w:b/>
          <w:sz w:val="24"/>
        </w:rPr>
        <w:t xml:space="preserve">Sec. </w:t>
      </w:r>
      <w:bookmarkStart w:id="7" w:name="_BILL_SECTION_NUMBER__5fb34989_8cbd_450e"/>
      <w:r>
        <w:rPr>
          <w:rFonts w:ascii="Arial" w:eastAsia="Arial" w:hAnsi="Arial" w:cs="Arial"/>
          <w:b/>
          <w:sz w:val="24"/>
        </w:rPr>
        <w:t>1</w:t>
      </w:r>
      <w:bookmarkEnd w:id="7"/>
      <w:r>
        <w:rPr>
          <w:rFonts w:ascii="Arial" w:eastAsia="Arial" w:hAnsi="Arial" w:cs="Arial"/>
          <w:b/>
          <w:sz w:val="24"/>
        </w:rPr>
        <w:t>.  22 MRSA §3174-G, sub-§1, ¶A-1</w:t>
      </w:r>
      <w:r>
        <w:rPr>
          <w:rFonts w:ascii="Arial" w:eastAsia="Arial" w:hAnsi="Arial" w:cs="Arial"/>
        </w:rPr>
        <w:t xml:space="preserve"> is enacted to read:</w:t>
      </w:r>
    </w:p>
    <w:p w:rsidR="00D821EA" w:rsidP="00D821EA">
      <w:pPr>
        <w:ind w:left="720"/>
        <w:rPr>
          <w:rFonts w:ascii="Arial" w:eastAsia="Arial" w:hAnsi="Arial" w:cs="Arial"/>
        </w:rPr>
      </w:pPr>
      <w:bookmarkStart w:id="8" w:name="_STATUTE_NUMBER__a8cc5231_7128_4449_abee"/>
      <w:bookmarkStart w:id="9" w:name="_STATUTE_P__5e36842b_4101_4f72_897c_d3db"/>
      <w:bookmarkStart w:id="10" w:name="_REV__dbb844c9_bf54_4cfe_87d5_3cc453206f"/>
      <w:bookmarkStart w:id="11" w:name="_PROCESSED_CHANGE__2ce42632_5ae3_496f_ab"/>
      <w:bookmarkStart w:id="12" w:name="_PROCESSED_CHANGE__91d98ebe_f223_4770_8f"/>
      <w:bookmarkStart w:id="13" w:name="_PROCESSED_CHANGE__0a5860aa_21fe_42a6_bd"/>
      <w:bookmarkStart w:id="14" w:name="_PROCESSED_CHANGE__314f12f2_d631_4556_8c"/>
      <w:bookmarkStart w:id="15" w:name="_PROCESSED_CHANGE__0085588b_edc0_464f_b0"/>
      <w:bookmarkEnd w:id="3"/>
      <w:r>
        <w:rPr>
          <w:rFonts w:ascii="Arial" w:eastAsia="Arial" w:hAnsi="Arial" w:cs="Arial"/>
          <w:u w:val="single"/>
        </w:rPr>
        <w:t>A-1</w:t>
      </w:r>
      <w:bookmarkEnd w:id="8"/>
      <w:r>
        <w:rPr>
          <w:rFonts w:ascii="Arial" w:eastAsia="Arial" w:hAnsi="Arial" w:cs="Arial"/>
          <w:u w:val="single"/>
        </w:rPr>
        <w:t xml:space="preserve">.  </w:t>
      </w:r>
      <w:bookmarkStart w:id="16" w:name="_STATUTE_CONTENT__cbb3128a_db6d_43e5_a9d"/>
      <w:r>
        <w:rPr>
          <w:rFonts w:ascii="Arial" w:eastAsia="Arial" w:hAnsi="Arial" w:cs="Arial"/>
          <w:u w:val="single"/>
        </w:rPr>
        <w:t>Notwithstanding paragraph A, b</w:t>
      </w:r>
      <w:r>
        <w:rPr>
          <w:rFonts w:ascii="Arial" w:eastAsia="Arial" w:hAnsi="Arial" w:cs="Arial"/>
          <w:u w:val="single"/>
        </w:rPr>
        <w:t>eginning January 1, 2022</w:t>
      </w:r>
      <w:r>
        <w:rPr>
          <w:rFonts w:ascii="Arial" w:eastAsia="Arial" w:hAnsi="Arial" w:cs="Arial"/>
          <w:u w:val="single"/>
        </w:rPr>
        <w:t xml:space="preserve"> and</w:t>
      </w:r>
      <w:r>
        <w:rPr>
          <w:rFonts w:ascii="Arial" w:eastAsia="Arial" w:hAnsi="Arial" w:cs="Arial"/>
          <w:u w:val="single"/>
        </w:rPr>
        <w:t xml:space="preserve"> until </w:t>
      </w:r>
      <w:r>
        <w:rPr>
          <w:rFonts w:ascii="Arial" w:eastAsia="Arial" w:hAnsi="Arial" w:cs="Arial"/>
          <w:u w:val="single"/>
        </w:rPr>
        <w:t>June</w:t>
      </w:r>
      <w:r>
        <w:rPr>
          <w:rFonts w:ascii="Arial" w:eastAsia="Arial" w:hAnsi="Arial" w:cs="Arial"/>
          <w:u w:val="single"/>
        </w:rPr>
        <w:t xml:space="preserve"> </w:t>
      </w:r>
      <w:r>
        <w:rPr>
          <w:rFonts w:ascii="Arial" w:eastAsia="Arial" w:hAnsi="Arial" w:cs="Arial"/>
          <w:u w:val="single"/>
        </w:rPr>
        <w:t>30</w:t>
      </w:r>
      <w:r>
        <w:rPr>
          <w:rFonts w:ascii="Arial" w:eastAsia="Arial" w:hAnsi="Arial" w:cs="Arial"/>
          <w:u w:val="single"/>
        </w:rPr>
        <w:t xml:space="preserve">, </w:t>
      </w:r>
      <w:r>
        <w:rPr>
          <w:rFonts w:ascii="Arial" w:eastAsia="Arial" w:hAnsi="Arial" w:cs="Arial"/>
          <w:u w:val="single"/>
        </w:rPr>
        <w:t>2022</w:t>
      </w:r>
      <w:r>
        <w:rPr>
          <w:rFonts w:ascii="Arial" w:eastAsia="Arial" w:hAnsi="Arial" w:cs="Arial"/>
          <w:u w:val="single"/>
        </w:rPr>
        <w:t xml:space="preserve">, a qualified woman during her pregnancy and up to </w:t>
      </w:r>
      <w:r>
        <w:rPr>
          <w:rFonts w:ascii="Arial" w:eastAsia="Arial" w:hAnsi="Arial" w:cs="Arial"/>
          <w:u w:val="single"/>
        </w:rPr>
        <w:t>6</w:t>
      </w:r>
      <w:r>
        <w:rPr>
          <w:rFonts w:ascii="Arial" w:eastAsia="Arial" w:hAnsi="Arial" w:cs="Arial"/>
          <w:u w:val="single"/>
        </w:rPr>
        <w:t xml:space="preserve"> months following delivery when </w:t>
      </w:r>
      <w:r>
        <w:rPr>
          <w:rFonts w:ascii="Arial" w:eastAsia="Arial" w:hAnsi="Arial" w:cs="Arial"/>
          <w:u w:val="single"/>
        </w:rPr>
        <w:t>the</w:t>
      </w:r>
      <w:r>
        <w:rPr>
          <w:rFonts w:ascii="Arial" w:eastAsia="Arial" w:hAnsi="Arial" w:cs="Arial"/>
          <w:u w:val="single"/>
        </w:rPr>
        <w:t xml:space="preserve"> woman</w:t>
      </w:r>
      <w:r>
        <w:rPr>
          <w:rFonts w:ascii="Arial" w:eastAsia="Arial" w:hAnsi="Arial" w:cs="Arial"/>
          <w:u w:val="single"/>
        </w:rPr>
        <w:t>'</w:t>
      </w:r>
      <w:r>
        <w:rPr>
          <w:rFonts w:ascii="Arial" w:eastAsia="Arial" w:hAnsi="Arial" w:cs="Arial"/>
          <w:u w:val="single"/>
        </w:rPr>
        <w:t>s family income is equal to or below 200% of the nonfarm income official poverty line;</w:t>
      </w:r>
    </w:p>
    <w:p w:rsidR="00D821EA" w:rsidP="00D821EA">
      <w:pPr>
        <w:ind w:left="360" w:firstLine="360"/>
        <w:rPr>
          <w:rFonts w:ascii="Arial" w:eastAsia="Arial" w:hAnsi="Arial" w:cs="Arial"/>
        </w:rPr>
      </w:pPr>
      <w:bookmarkStart w:id="17" w:name="_BILL_SECTION_HEADER__7358329b_ddbb_4d0f"/>
      <w:bookmarkStart w:id="18" w:name="_BILL_SECTION__8e50c1f1_88e7_4e4f_a938_3"/>
      <w:bookmarkEnd w:id="4"/>
      <w:bookmarkEnd w:id="9"/>
      <w:bookmarkEnd w:id="10"/>
      <w:bookmarkEnd w:id="11"/>
      <w:bookmarkEnd w:id="12"/>
      <w:bookmarkEnd w:id="13"/>
      <w:bookmarkEnd w:id="14"/>
      <w:bookmarkEnd w:id="15"/>
      <w:bookmarkEnd w:id="16"/>
      <w:r>
        <w:rPr>
          <w:rFonts w:ascii="Arial" w:eastAsia="Arial" w:hAnsi="Arial" w:cs="Arial"/>
          <w:b/>
          <w:sz w:val="24"/>
        </w:rPr>
        <w:t xml:space="preserve">Sec. </w:t>
      </w:r>
      <w:bookmarkStart w:id="19" w:name="_BILL_SECTION_NUMBER__1c003928_e904_4c39"/>
      <w:r>
        <w:rPr>
          <w:rFonts w:ascii="Arial" w:eastAsia="Arial" w:hAnsi="Arial" w:cs="Arial"/>
          <w:b/>
          <w:sz w:val="24"/>
        </w:rPr>
        <w:t>2</w:t>
      </w:r>
      <w:bookmarkEnd w:id="19"/>
      <w:r>
        <w:rPr>
          <w:rFonts w:ascii="Arial" w:eastAsia="Arial" w:hAnsi="Arial" w:cs="Arial"/>
          <w:b/>
          <w:sz w:val="24"/>
        </w:rPr>
        <w:t>.  22 MRSA §3174-G, sub-§1, ¶A-2</w:t>
      </w:r>
      <w:r>
        <w:rPr>
          <w:rFonts w:ascii="Arial" w:eastAsia="Arial" w:hAnsi="Arial" w:cs="Arial"/>
        </w:rPr>
        <w:t xml:space="preserve"> is enacted to read:</w:t>
      </w:r>
    </w:p>
    <w:p w:rsidR="00D821EA" w:rsidP="00D821EA">
      <w:pPr>
        <w:ind w:left="720"/>
        <w:rPr>
          <w:rFonts w:ascii="Arial" w:eastAsia="Arial" w:hAnsi="Arial" w:cs="Arial"/>
        </w:rPr>
      </w:pPr>
      <w:bookmarkStart w:id="20" w:name="_STATUTE_NUMBER__0458ae0d_8acd_47de_b6f6"/>
      <w:bookmarkStart w:id="21" w:name="_STATUTE_P__317c6c3a_e845_4635_bff8_3bd7"/>
      <w:bookmarkEnd w:id="17"/>
      <w:r>
        <w:rPr>
          <w:rFonts w:ascii="Arial" w:eastAsia="Arial" w:hAnsi="Arial" w:cs="Arial"/>
          <w:u w:val="single"/>
        </w:rPr>
        <w:t>A-2</w:t>
      </w:r>
      <w:bookmarkEnd w:id="20"/>
      <w:r>
        <w:rPr>
          <w:rFonts w:ascii="Arial" w:eastAsia="Arial" w:hAnsi="Arial" w:cs="Arial"/>
          <w:u w:val="single"/>
        </w:rPr>
        <w:t xml:space="preserve">.  </w:t>
      </w:r>
      <w:bookmarkStart w:id="22" w:name="_STATUTE_CONTENT__34882564_bd5e_4232_935"/>
      <w:r>
        <w:rPr>
          <w:rFonts w:ascii="Arial" w:eastAsia="Arial" w:hAnsi="Arial" w:cs="Arial"/>
          <w:u w:val="single"/>
        </w:rPr>
        <w:t>Notwithstanding paragraph A, beginning July 1, 2022 and until June 30, 2023, a qualified woman during her pregnancy and up to 9 months following delivery when the woman's family income is equal to or below 200% of the nonfarm income official poverty line;</w:t>
      </w:r>
    </w:p>
    <w:p w:rsidR="00D821EA" w:rsidP="00D821EA">
      <w:pPr>
        <w:ind w:left="360" w:firstLine="360"/>
        <w:rPr>
          <w:rFonts w:ascii="Arial" w:eastAsia="Arial" w:hAnsi="Arial" w:cs="Arial"/>
        </w:rPr>
      </w:pPr>
      <w:bookmarkStart w:id="23" w:name="_BILL_SECTION_HEADER__1fe32cd3_caa5_4588"/>
      <w:bookmarkStart w:id="24" w:name="_BILL_SECTION__9f4cb17d_ee44_413c_8cec_9"/>
      <w:bookmarkEnd w:id="18"/>
      <w:bookmarkEnd w:id="21"/>
      <w:bookmarkEnd w:id="22"/>
      <w:r>
        <w:rPr>
          <w:rFonts w:ascii="Arial" w:eastAsia="Arial" w:hAnsi="Arial" w:cs="Arial"/>
          <w:b/>
          <w:sz w:val="24"/>
        </w:rPr>
        <w:t xml:space="preserve">Sec. </w:t>
      </w:r>
      <w:bookmarkStart w:id="25" w:name="_BILL_SECTION_NUMBER__8f6c9db1_da16_4c19"/>
      <w:r>
        <w:rPr>
          <w:rFonts w:ascii="Arial" w:eastAsia="Arial" w:hAnsi="Arial" w:cs="Arial"/>
          <w:b/>
          <w:sz w:val="24"/>
        </w:rPr>
        <w:t>3</w:t>
      </w:r>
      <w:bookmarkEnd w:id="25"/>
      <w:r>
        <w:rPr>
          <w:rFonts w:ascii="Arial" w:eastAsia="Arial" w:hAnsi="Arial" w:cs="Arial"/>
          <w:b/>
          <w:sz w:val="24"/>
        </w:rPr>
        <w:t>.  22 MRSA §3174-G, sub-§1, ¶A-3</w:t>
      </w:r>
      <w:r>
        <w:rPr>
          <w:rFonts w:ascii="Arial" w:eastAsia="Arial" w:hAnsi="Arial" w:cs="Arial"/>
        </w:rPr>
        <w:t xml:space="preserve"> is enacted to read:</w:t>
      </w:r>
    </w:p>
    <w:p w:rsidR="00D821EA" w:rsidP="00D821EA">
      <w:pPr>
        <w:ind w:left="720"/>
        <w:rPr>
          <w:rFonts w:ascii="Arial" w:eastAsia="Arial" w:hAnsi="Arial" w:cs="Arial"/>
        </w:rPr>
      </w:pPr>
      <w:bookmarkStart w:id="26" w:name="_STATUTE_NUMBER__f718ec58_3f6e_43b4_b20c"/>
      <w:bookmarkStart w:id="27" w:name="_STATUTE_P__633c195c_6a23_4665_acfc_994e"/>
      <w:bookmarkEnd w:id="23"/>
      <w:r>
        <w:rPr>
          <w:rFonts w:ascii="Arial" w:eastAsia="Arial" w:hAnsi="Arial" w:cs="Arial"/>
          <w:u w:val="single"/>
        </w:rPr>
        <w:t>A-3</w:t>
      </w:r>
      <w:bookmarkEnd w:id="26"/>
      <w:r>
        <w:rPr>
          <w:rFonts w:ascii="Arial" w:eastAsia="Arial" w:hAnsi="Arial" w:cs="Arial"/>
          <w:u w:val="single"/>
        </w:rPr>
        <w:t xml:space="preserve">.  </w:t>
      </w:r>
      <w:bookmarkStart w:id="28" w:name="_STATUTE_CONTENT__2ffc8946_55a4_4a20_bc1"/>
      <w:r>
        <w:rPr>
          <w:rFonts w:ascii="Arial" w:eastAsia="Arial" w:hAnsi="Arial" w:cs="Arial"/>
          <w:u w:val="single"/>
        </w:rPr>
        <w:t>Notwithstanding paragraph A, beginning July 1, 2023 and until December 31, 2026, a qualified woman during her pregnancy and up to 12 months following delivery when the woman's family income is equal to or below 200% of the nonfarm income official poverty line;</w:t>
      </w:r>
    </w:p>
    <w:p w:rsidR="00D821EA" w:rsidP="00D821EA">
      <w:pPr>
        <w:ind w:left="360" w:firstLine="360"/>
        <w:rPr>
          <w:rFonts w:ascii="Arial" w:eastAsia="Arial" w:hAnsi="Arial" w:cs="Arial"/>
        </w:rPr>
      </w:pPr>
      <w:bookmarkStart w:id="29" w:name="_BILL_SECTION_HEADER__05b27d0a_c3e1_4120"/>
      <w:bookmarkStart w:id="30" w:name="_BILL_SECTION__f8a305f2_4575_434d_8c6b_5"/>
      <w:bookmarkEnd w:id="24"/>
      <w:bookmarkEnd w:id="27"/>
      <w:bookmarkEnd w:id="28"/>
      <w:r>
        <w:rPr>
          <w:rFonts w:ascii="Arial" w:eastAsia="Arial" w:hAnsi="Arial" w:cs="Arial"/>
          <w:b/>
          <w:sz w:val="24"/>
        </w:rPr>
        <w:t xml:space="preserve">Sec. </w:t>
      </w:r>
      <w:bookmarkStart w:id="31" w:name="_BILL_SECTION_NUMBER__59238b10_5dfe_40a1"/>
      <w:r>
        <w:rPr>
          <w:rFonts w:ascii="Arial" w:eastAsia="Arial" w:hAnsi="Arial" w:cs="Arial"/>
          <w:b/>
          <w:sz w:val="24"/>
        </w:rPr>
        <w:t>4</w:t>
      </w:r>
      <w:bookmarkEnd w:id="31"/>
      <w:r>
        <w:rPr>
          <w:rFonts w:ascii="Arial" w:eastAsia="Arial" w:hAnsi="Arial" w:cs="Arial"/>
          <w:b/>
          <w:sz w:val="24"/>
        </w:rPr>
        <w:t>.  22 MRSA §3174-G, sub-§1, ¶G,</w:t>
      </w:r>
      <w:r>
        <w:rPr>
          <w:rFonts w:ascii="Arial" w:eastAsia="Arial" w:hAnsi="Arial" w:cs="Arial"/>
        </w:rPr>
        <w:t xml:space="preserve"> as amended by IB 2017, c. 1, Pt. A, §2, is further amended by amending subparagraph (2) to read:</w:t>
      </w:r>
    </w:p>
    <w:p w:rsidR="00D821EA" w:rsidP="00D821EA">
      <w:pPr>
        <w:ind w:left="1080"/>
        <w:rPr>
          <w:rFonts w:ascii="Arial" w:eastAsia="Arial" w:hAnsi="Arial" w:cs="Arial"/>
        </w:rPr>
      </w:pPr>
      <w:bookmarkStart w:id="32" w:name="_STATUTE_SP__7e071913_7c57_4321_9062_fcf"/>
      <w:bookmarkEnd w:id="29"/>
      <w:r>
        <w:rPr>
          <w:rFonts w:ascii="Arial" w:eastAsia="Arial" w:hAnsi="Arial" w:cs="Arial"/>
        </w:rPr>
        <w:t>(</w:t>
      </w:r>
      <w:bookmarkStart w:id="33" w:name="_STATUTE_NUMBER__f30f434b_6497_4c3d_8d74"/>
      <w:r>
        <w:rPr>
          <w:rFonts w:ascii="Arial" w:eastAsia="Arial" w:hAnsi="Arial" w:cs="Arial"/>
        </w:rPr>
        <w:t>2</w:t>
      </w:r>
      <w:bookmarkEnd w:id="33"/>
      <w:r>
        <w:rPr>
          <w:rFonts w:ascii="Arial" w:eastAsia="Arial" w:hAnsi="Arial" w:cs="Arial"/>
        </w:rPr>
        <w:t xml:space="preserve">)  </w:t>
      </w:r>
      <w:bookmarkStart w:id="34" w:name="_STATUTE_CONTENT__b936adf7_67ab_4612_979"/>
      <w:r>
        <w:rPr>
          <w:rFonts w:ascii="Arial" w:eastAsia="Arial" w:hAnsi="Arial" w:cs="Arial"/>
        </w:rPr>
        <w:t xml:space="preserve">A child under 21 years of age; </w:t>
      </w:r>
      <w:bookmarkStart w:id="35" w:name="_REV__99b3f684_7900_41cf_a72d_75c55f0b83"/>
      <w:bookmarkStart w:id="36" w:name="_PROCESSED_CHANGE__47441ad6_ec09_49cb_84"/>
      <w:bookmarkStart w:id="37" w:name="_PROCESSED_CHANGE__e990796b_e1fa_4054_8c"/>
      <w:bookmarkStart w:id="38" w:name="_PROCESSED_CHANGE__d4b3347e_2692_4ec7_b6"/>
      <w:bookmarkStart w:id="39" w:name="_PROCESSED_CHANGE__f982a98e_a420_415a_85"/>
      <w:bookmarkStart w:id="40" w:name="_PROCESSED_CHANGE__8d5c8fcf_17b9_4bed_a8"/>
      <w:r>
        <w:rPr>
          <w:rFonts w:ascii="Arial" w:eastAsia="Arial" w:hAnsi="Arial" w:cs="Arial"/>
          <w:strike/>
        </w:rPr>
        <w:t>and</w:t>
      </w:r>
      <w:bookmarkEnd w:id="34"/>
      <w:bookmarkEnd w:id="35"/>
      <w:bookmarkEnd w:id="36"/>
      <w:bookmarkEnd w:id="37"/>
      <w:bookmarkEnd w:id="38"/>
      <w:bookmarkEnd w:id="39"/>
      <w:bookmarkEnd w:id="40"/>
    </w:p>
    <w:p w:rsidR="00D821EA" w:rsidP="00D821EA">
      <w:pPr>
        <w:ind w:left="360" w:firstLine="360"/>
        <w:rPr>
          <w:rFonts w:ascii="Arial" w:eastAsia="Arial" w:hAnsi="Arial" w:cs="Arial"/>
        </w:rPr>
      </w:pPr>
      <w:bookmarkStart w:id="41" w:name="_BILL_SECTION_HEADER__fb7650c2_337a_4f5f"/>
      <w:bookmarkStart w:id="42" w:name="_BILL_SECTION__80624ddf_4476_475e_b7a2_6"/>
      <w:bookmarkEnd w:id="30"/>
      <w:bookmarkEnd w:id="32"/>
      <w:r>
        <w:rPr>
          <w:rFonts w:ascii="Arial" w:eastAsia="Arial" w:hAnsi="Arial" w:cs="Arial"/>
          <w:b/>
          <w:sz w:val="24"/>
        </w:rPr>
        <w:t xml:space="preserve">Sec. </w:t>
      </w:r>
      <w:bookmarkStart w:id="43" w:name="_BILL_SECTION_NUMBER__719940cd_96c1_4089"/>
      <w:r>
        <w:rPr>
          <w:rFonts w:ascii="Arial" w:eastAsia="Arial" w:hAnsi="Arial" w:cs="Arial"/>
          <w:b/>
          <w:sz w:val="24"/>
        </w:rPr>
        <w:t>5</w:t>
      </w:r>
      <w:bookmarkEnd w:id="43"/>
      <w:r>
        <w:rPr>
          <w:rFonts w:ascii="Arial" w:eastAsia="Arial" w:hAnsi="Arial" w:cs="Arial"/>
          <w:b/>
          <w:sz w:val="24"/>
        </w:rPr>
        <w:t>.  22 MRSA §3174-G, sub-§1, ¶G-1</w:t>
      </w:r>
      <w:r>
        <w:rPr>
          <w:rFonts w:ascii="Arial" w:eastAsia="Arial" w:hAnsi="Arial" w:cs="Arial"/>
        </w:rPr>
        <w:t xml:space="preserve"> is enacted to read:</w:t>
      </w:r>
    </w:p>
    <w:p w:rsidR="00D821EA" w:rsidP="00D821EA">
      <w:pPr>
        <w:ind w:left="720"/>
        <w:rPr>
          <w:rFonts w:ascii="Arial" w:eastAsia="Arial" w:hAnsi="Arial" w:cs="Arial"/>
        </w:rPr>
      </w:pPr>
      <w:bookmarkStart w:id="44" w:name="_STATUTE_NUMBER__cdd1b978_6e9d_4c65_99a6"/>
      <w:bookmarkStart w:id="45" w:name="_REV__bfeba317_d51f_45bb_bceb_f59ac7a5c6"/>
      <w:bookmarkStart w:id="46" w:name="_STATUTE_P__3cecb891_2580_4fe4_a2b1_6622"/>
      <w:bookmarkStart w:id="47" w:name="_PROCESSED_CHANGE__190850d1_8256_4d9c_9f"/>
      <w:bookmarkStart w:id="48" w:name="_PROCESSED_CHANGE__7055b955_a631_497f_a1"/>
      <w:bookmarkStart w:id="49" w:name="_PROCESSED_CHANGE__8086a366_cf7f_44b2_95"/>
      <w:bookmarkStart w:id="50" w:name="_PROCESSED_CHANGE__97126da3_52f1_494a_93"/>
      <w:bookmarkStart w:id="51" w:name="_PROCESSED_CHANGE__ff15f132_ff61_4814_9b"/>
      <w:bookmarkEnd w:id="41"/>
      <w:r>
        <w:rPr>
          <w:rFonts w:ascii="Arial" w:eastAsia="Arial" w:hAnsi="Arial" w:cs="Arial"/>
          <w:u w:val="single"/>
        </w:rPr>
        <w:t>G-1</w:t>
      </w:r>
      <w:bookmarkEnd w:id="44"/>
      <w:r>
        <w:rPr>
          <w:rFonts w:ascii="Arial" w:eastAsia="Arial" w:hAnsi="Arial" w:cs="Arial"/>
          <w:u w:val="single"/>
        </w:rPr>
        <w:t xml:space="preserve">.  </w:t>
      </w:r>
      <w:bookmarkStart w:id="52" w:name="_STATUTE_CONTENT__c144886a_290b_480a_b27"/>
      <w:r>
        <w:rPr>
          <w:rFonts w:ascii="Arial" w:eastAsia="Arial" w:hAnsi="Arial" w:cs="Arial"/>
          <w:u w:val="single"/>
        </w:rPr>
        <w:t>Notwithstanding paragraph G, b</w:t>
      </w:r>
      <w:r>
        <w:rPr>
          <w:rFonts w:ascii="Arial" w:eastAsia="Arial" w:hAnsi="Arial" w:cs="Arial"/>
          <w:u w:val="single"/>
        </w:rPr>
        <w:t xml:space="preserve">eginning January 1, 2022 </w:t>
      </w:r>
      <w:r>
        <w:rPr>
          <w:rFonts w:ascii="Arial" w:eastAsia="Arial" w:hAnsi="Arial" w:cs="Arial"/>
          <w:u w:val="single"/>
        </w:rPr>
        <w:t xml:space="preserve">and </w:t>
      </w:r>
      <w:r>
        <w:rPr>
          <w:rFonts w:ascii="Arial" w:eastAsia="Arial" w:hAnsi="Arial" w:cs="Arial"/>
          <w:u w:val="single"/>
        </w:rPr>
        <w:t xml:space="preserve">until </w:t>
      </w:r>
      <w:r>
        <w:rPr>
          <w:rFonts w:ascii="Arial" w:eastAsia="Arial" w:hAnsi="Arial" w:cs="Arial"/>
          <w:u w:val="single"/>
        </w:rPr>
        <w:t>June</w:t>
      </w:r>
      <w:r>
        <w:rPr>
          <w:rFonts w:ascii="Arial" w:eastAsia="Arial" w:hAnsi="Arial" w:cs="Arial"/>
          <w:u w:val="single"/>
        </w:rPr>
        <w:t xml:space="preserve"> </w:t>
      </w:r>
      <w:r>
        <w:rPr>
          <w:rFonts w:ascii="Arial" w:eastAsia="Arial" w:hAnsi="Arial" w:cs="Arial"/>
          <w:u w:val="single"/>
        </w:rPr>
        <w:t>30</w:t>
      </w:r>
      <w:r>
        <w:rPr>
          <w:rFonts w:ascii="Arial" w:eastAsia="Arial" w:hAnsi="Arial" w:cs="Arial"/>
          <w:u w:val="single"/>
        </w:rPr>
        <w:t xml:space="preserve">, </w:t>
      </w:r>
      <w:r>
        <w:rPr>
          <w:rFonts w:ascii="Arial" w:eastAsia="Arial" w:hAnsi="Arial" w:cs="Arial"/>
          <w:u w:val="single"/>
        </w:rPr>
        <w:t>2022</w:t>
      </w:r>
      <w:r>
        <w:rPr>
          <w:rFonts w:ascii="Arial" w:eastAsia="Arial" w:hAnsi="Arial" w:cs="Arial"/>
          <w:u w:val="single"/>
        </w:rPr>
        <w:t>, a person who is a noncitizen legally admitted to the United States to the extent that coverage is allowable by federal law if the person is:</w:t>
      </w:r>
    </w:p>
    <w:p w:rsidR="00D821EA" w:rsidP="00D821EA">
      <w:pPr>
        <w:ind w:left="1080"/>
        <w:rPr>
          <w:rFonts w:ascii="Arial" w:eastAsia="Arial" w:hAnsi="Arial" w:cs="Arial"/>
        </w:rPr>
      </w:pPr>
      <w:bookmarkStart w:id="53" w:name="_STATUTE_SP__75f2107a_56ae_4396_8a96_1c0"/>
      <w:bookmarkStart w:id="54" w:name="_REV__c2a64c6d_0d7b_4ac9_bf2b_17a56f24ad"/>
      <w:bookmarkEnd w:id="45"/>
      <w:bookmarkEnd w:id="52"/>
      <w:r>
        <w:rPr>
          <w:rFonts w:ascii="Arial" w:eastAsia="Arial" w:hAnsi="Arial" w:cs="Arial"/>
          <w:u w:val="single"/>
        </w:rPr>
        <w:t>(</w:t>
      </w:r>
      <w:bookmarkStart w:id="55" w:name="_STATUTE_NUMBER__9c4dfe2d_0b6c_47de_9985"/>
      <w:r>
        <w:rPr>
          <w:rFonts w:ascii="Arial" w:eastAsia="Arial" w:hAnsi="Arial" w:cs="Arial"/>
          <w:u w:val="single"/>
        </w:rPr>
        <w:t>1</w:t>
      </w:r>
      <w:bookmarkEnd w:id="55"/>
      <w:r>
        <w:rPr>
          <w:rFonts w:ascii="Arial" w:eastAsia="Arial" w:hAnsi="Arial" w:cs="Arial"/>
          <w:u w:val="single"/>
        </w:rPr>
        <w:t xml:space="preserve">)  </w:t>
      </w:r>
      <w:bookmarkStart w:id="56" w:name="_STATUTE_CONTENT__c2162df5_a82e_4866_87f"/>
      <w:r>
        <w:rPr>
          <w:rFonts w:ascii="Arial" w:eastAsia="Arial" w:hAnsi="Arial" w:cs="Arial"/>
          <w:u w:val="single"/>
        </w:rPr>
        <w:t xml:space="preserve">A woman during her pregnancy and up to </w:t>
      </w:r>
      <w:r>
        <w:rPr>
          <w:rFonts w:ascii="Arial" w:eastAsia="Arial" w:hAnsi="Arial" w:cs="Arial"/>
          <w:u w:val="single"/>
        </w:rPr>
        <w:t>6</w:t>
      </w:r>
      <w:r>
        <w:rPr>
          <w:rFonts w:ascii="Arial" w:eastAsia="Arial" w:hAnsi="Arial" w:cs="Arial"/>
          <w:u w:val="single"/>
        </w:rPr>
        <w:t xml:space="preserve"> months following delivery; or</w:t>
      </w:r>
    </w:p>
    <w:p w:rsidR="00D821EA" w:rsidP="00D821EA">
      <w:pPr>
        <w:ind w:left="1080"/>
        <w:rPr>
          <w:rFonts w:ascii="Arial" w:eastAsia="Arial" w:hAnsi="Arial" w:cs="Arial"/>
        </w:rPr>
      </w:pPr>
      <w:bookmarkStart w:id="57" w:name="_STATUTE_SP__029196cc_dc56_46fa_b8fb_3ee"/>
      <w:bookmarkStart w:id="58" w:name="_REV__899dfe93_7444_46d1_a6aa_1c4e60ca29"/>
      <w:bookmarkEnd w:id="53"/>
      <w:bookmarkEnd w:id="54"/>
      <w:bookmarkEnd w:id="56"/>
      <w:r>
        <w:rPr>
          <w:rFonts w:ascii="Arial" w:eastAsia="Arial" w:hAnsi="Arial" w:cs="Arial"/>
          <w:u w:val="single"/>
        </w:rPr>
        <w:t>(</w:t>
      </w:r>
      <w:bookmarkStart w:id="59" w:name="_STATUTE_NUMBER__32abdb60_dc36_4b7d_b615"/>
      <w:r>
        <w:rPr>
          <w:rFonts w:ascii="Arial" w:eastAsia="Arial" w:hAnsi="Arial" w:cs="Arial"/>
          <w:u w:val="single"/>
        </w:rPr>
        <w:t>2</w:t>
      </w:r>
      <w:bookmarkEnd w:id="59"/>
      <w:r>
        <w:rPr>
          <w:rFonts w:ascii="Arial" w:eastAsia="Arial" w:hAnsi="Arial" w:cs="Arial"/>
          <w:u w:val="single"/>
        </w:rPr>
        <w:t xml:space="preserve">)  </w:t>
      </w:r>
      <w:bookmarkStart w:id="60" w:name="_STATUTE_CONTENT__388b5ddf_a9aa_4a6a_bc1"/>
      <w:r>
        <w:rPr>
          <w:rFonts w:ascii="Arial" w:eastAsia="Arial" w:hAnsi="Arial" w:cs="Arial"/>
          <w:u w:val="single"/>
        </w:rPr>
        <w:t>A child under 21 years of age;</w:t>
      </w:r>
    </w:p>
    <w:p w:rsidR="00D821EA" w:rsidP="00D821EA">
      <w:pPr>
        <w:ind w:left="360" w:firstLine="360"/>
        <w:rPr>
          <w:rFonts w:ascii="Arial" w:eastAsia="Arial" w:hAnsi="Arial" w:cs="Arial"/>
        </w:rPr>
      </w:pPr>
      <w:bookmarkStart w:id="61" w:name="_BILL_SECTION_HEADER__ce0cca4b_2118_4c84"/>
      <w:bookmarkStart w:id="62" w:name="_BILL_SECTION__5635f93a_b6cc_42cb_9109_5"/>
      <w:bookmarkEnd w:id="42"/>
      <w:bookmarkEnd w:id="46"/>
      <w:bookmarkEnd w:id="47"/>
      <w:bookmarkEnd w:id="48"/>
      <w:bookmarkEnd w:id="49"/>
      <w:bookmarkEnd w:id="50"/>
      <w:bookmarkEnd w:id="51"/>
      <w:bookmarkEnd w:id="57"/>
      <w:bookmarkEnd w:id="58"/>
      <w:bookmarkEnd w:id="60"/>
      <w:r>
        <w:rPr>
          <w:rFonts w:ascii="Arial" w:eastAsia="Arial" w:hAnsi="Arial" w:cs="Arial"/>
          <w:b/>
          <w:sz w:val="24"/>
        </w:rPr>
        <w:t xml:space="preserve">Sec. </w:t>
      </w:r>
      <w:bookmarkStart w:id="63" w:name="_BILL_SECTION_NUMBER__214ce03c_5f34_4953"/>
      <w:r>
        <w:rPr>
          <w:rFonts w:ascii="Arial" w:eastAsia="Arial" w:hAnsi="Arial" w:cs="Arial"/>
          <w:b/>
          <w:sz w:val="24"/>
        </w:rPr>
        <w:t>6</w:t>
      </w:r>
      <w:bookmarkEnd w:id="63"/>
      <w:r>
        <w:rPr>
          <w:rFonts w:ascii="Arial" w:eastAsia="Arial" w:hAnsi="Arial" w:cs="Arial"/>
          <w:b/>
          <w:sz w:val="24"/>
        </w:rPr>
        <w:t>.  22 MRSA §3174-G, sub-§1, ¶G-2</w:t>
      </w:r>
      <w:r>
        <w:rPr>
          <w:rFonts w:ascii="Arial" w:eastAsia="Arial" w:hAnsi="Arial" w:cs="Arial"/>
        </w:rPr>
        <w:t xml:space="preserve"> is enacted to read:</w:t>
      </w:r>
    </w:p>
    <w:p w:rsidR="00D821EA" w:rsidP="00D821EA">
      <w:pPr>
        <w:ind w:left="720"/>
        <w:rPr>
          <w:rFonts w:ascii="Arial" w:eastAsia="Arial" w:hAnsi="Arial" w:cs="Arial"/>
        </w:rPr>
      </w:pPr>
      <w:bookmarkStart w:id="64" w:name="_STATUTE_NUMBER__f139fa8c_b4ab_4de6_8fc5"/>
      <w:bookmarkStart w:id="65" w:name="_STATUTE_P__075b433e_19a8_48d9_b6e6_bcaf"/>
      <w:bookmarkEnd w:id="61"/>
      <w:r>
        <w:rPr>
          <w:rFonts w:ascii="Arial" w:eastAsia="Arial" w:hAnsi="Arial" w:cs="Arial"/>
          <w:u w:val="single"/>
        </w:rPr>
        <w:t>G-2</w:t>
      </w:r>
      <w:bookmarkEnd w:id="64"/>
      <w:r>
        <w:rPr>
          <w:rFonts w:ascii="Arial" w:eastAsia="Arial" w:hAnsi="Arial" w:cs="Arial"/>
          <w:u w:val="single"/>
        </w:rPr>
        <w:t xml:space="preserve">.  </w:t>
      </w:r>
      <w:bookmarkStart w:id="66" w:name="_STATUTE_CONTENT__528b4a78_e3b7_4a34_96c"/>
      <w:r>
        <w:rPr>
          <w:rFonts w:ascii="Arial" w:eastAsia="Arial" w:hAnsi="Arial" w:cs="Arial"/>
          <w:u w:val="single"/>
        </w:rPr>
        <w:t>Notwithstanding paragraph G, beginning July 1, 2022 and until June 30, 2023, a person who is a noncitizen legally admitted to the United States to the extent that coverage is allowable by federal law if the person is:</w:t>
      </w:r>
    </w:p>
    <w:p w:rsidR="00D821EA" w:rsidP="00D821EA">
      <w:pPr>
        <w:ind w:left="1080"/>
        <w:rPr>
          <w:rFonts w:ascii="Arial" w:eastAsia="Arial" w:hAnsi="Arial" w:cs="Arial"/>
        </w:rPr>
      </w:pPr>
      <w:bookmarkStart w:id="67" w:name="_STATUTE_SP__e32eb1cc_ce13_44de_ba51_e30"/>
      <w:bookmarkEnd w:id="66"/>
      <w:r>
        <w:rPr>
          <w:rFonts w:ascii="Arial" w:eastAsia="Arial" w:hAnsi="Arial" w:cs="Arial"/>
          <w:u w:val="single"/>
        </w:rPr>
        <w:t>(</w:t>
      </w:r>
      <w:bookmarkStart w:id="68" w:name="_STATUTE_NUMBER__ac91b495_3aa5_47db_b5a9"/>
      <w:r>
        <w:rPr>
          <w:rFonts w:ascii="Arial" w:eastAsia="Arial" w:hAnsi="Arial" w:cs="Arial"/>
          <w:u w:val="single"/>
        </w:rPr>
        <w:t>1</w:t>
      </w:r>
      <w:bookmarkEnd w:id="68"/>
      <w:r>
        <w:rPr>
          <w:rFonts w:ascii="Arial" w:eastAsia="Arial" w:hAnsi="Arial" w:cs="Arial"/>
          <w:u w:val="single"/>
        </w:rPr>
        <w:t xml:space="preserve">)  </w:t>
      </w:r>
      <w:bookmarkStart w:id="69" w:name="_STATUTE_CONTENT__0fff3e32_1d81_4d51_a2d"/>
      <w:r>
        <w:rPr>
          <w:rFonts w:ascii="Arial" w:eastAsia="Arial" w:hAnsi="Arial" w:cs="Arial"/>
          <w:u w:val="single"/>
        </w:rPr>
        <w:t>A woman during her pregnancy and up to 9 months following delivery; or</w:t>
      </w:r>
    </w:p>
    <w:p w:rsidR="00D821EA" w:rsidP="00D821EA">
      <w:pPr>
        <w:ind w:left="1080"/>
        <w:rPr>
          <w:rFonts w:ascii="Arial" w:eastAsia="Arial" w:hAnsi="Arial" w:cs="Arial"/>
        </w:rPr>
      </w:pPr>
      <w:bookmarkStart w:id="70" w:name="_STATUTE_SP__e4bfb634_65b5_4032_a424_4f9"/>
      <w:bookmarkEnd w:id="67"/>
      <w:bookmarkEnd w:id="69"/>
      <w:r>
        <w:rPr>
          <w:rFonts w:ascii="Arial" w:eastAsia="Arial" w:hAnsi="Arial" w:cs="Arial"/>
          <w:u w:val="single"/>
        </w:rPr>
        <w:t>(</w:t>
      </w:r>
      <w:bookmarkStart w:id="71" w:name="_STATUTE_NUMBER__14303d17_d881_4e7f_bf92"/>
      <w:r>
        <w:rPr>
          <w:rFonts w:ascii="Arial" w:eastAsia="Arial" w:hAnsi="Arial" w:cs="Arial"/>
          <w:u w:val="single"/>
        </w:rPr>
        <w:t>2</w:t>
      </w:r>
      <w:bookmarkEnd w:id="71"/>
      <w:r>
        <w:rPr>
          <w:rFonts w:ascii="Arial" w:eastAsia="Arial" w:hAnsi="Arial" w:cs="Arial"/>
          <w:u w:val="single"/>
        </w:rPr>
        <w:t xml:space="preserve">)  </w:t>
      </w:r>
      <w:bookmarkStart w:id="72" w:name="_STATUTE_CONTENT__22266f50_e26c_4bf1_8ed"/>
      <w:r>
        <w:rPr>
          <w:rFonts w:ascii="Arial" w:eastAsia="Arial" w:hAnsi="Arial" w:cs="Arial"/>
          <w:u w:val="single"/>
        </w:rPr>
        <w:t>A child under 21 years of age;</w:t>
      </w:r>
    </w:p>
    <w:p w:rsidR="00D821EA" w:rsidP="00D821EA">
      <w:pPr>
        <w:ind w:left="360" w:firstLine="360"/>
        <w:rPr>
          <w:rFonts w:ascii="Arial" w:eastAsia="Arial" w:hAnsi="Arial" w:cs="Arial"/>
        </w:rPr>
      </w:pPr>
      <w:bookmarkStart w:id="73" w:name="_BILL_SECTION_HEADER__94229651_6bec_44e3"/>
      <w:bookmarkStart w:id="74" w:name="_BILL_SECTION__2bc87365_0b8c_4817_9342_7"/>
      <w:bookmarkEnd w:id="62"/>
      <w:bookmarkEnd w:id="65"/>
      <w:bookmarkEnd w:id="70"/>
      <w:bookmarkEnd w:id="72"/>
      <w:r>
        <w:rPr>
          <w:rFonts w:ascii="Arial" w:eastAsia="Arial" w:hAnsi="Arial" w:cs="Arial"/>
          <w:b/>
          <w:sz w:val="24"/>
        </w:rPr>
        <w:t xml:space="preserve">Sec. </w:t>
      </w:r>
      <w:bookmarkStart w:id="75" w:name="_BILL_SECTION_NUMBER__dabd6858_0511_40e2"/>
      <w:r>
        <w:rPr>
          <w:rFonts w:ascii="Arial" w:eastAsia="Arial" w:hAnsi="Arial" w:cs="Arial"/>
          <w:b/>
          <w:sz w:val="24"/>
        </w:rPr>
        <w:t>7</w:t>
      </w:r>
      <w:bookmarkEnd w:id="75"/>
      <w:r>
        <w:rPr>
          <w:rFonts w:ascii="Arial" w:eastAsia="Arial" w:hAnsi="Arial" w:cs="Arial"/>
          <w:b/>
          <w:sz w:val="24"/>
        </w:rPr>
        <w:t>.  22 MRSA §3174-G, sub-§1, ¶G-3</w:t>
      </w:r>
      <w:r>
        <w:rPr>
          <w:rFonts w:ascii="Arial" w:eastAsia="Arial" w:hAnsi="Arial" w:cs="Arial"/>
        </w:rPr>
        <w:t xml:space="preserve"> is enacted to read:</w:t>
      </w:r>
    </w:p>
    <w:p w:rsidR="00D821EA" w:rsidP="00D821EA">
      <w:pPr>
        <w:ind w:left="720"/>
        <w:rPr>
          <w:rFonts w:ascii="Arial" w:eastAsia="Arial" w:hAnsi="Arial" w:cs="Arial"/>
        </w:rPr>
      </w:pPr>
      <w:bookmarkStart w:id="76" w:name="_STATUTE_NUMBER__f1c22d21_890d_42c2_9353"/>
      <w:bookmarkStart w:id="77" w:name="_STATUTE_P__04c44f07_9296_4289_a1ff_1c8b"/>
      <w:bookmarkEnd w:id="73"/>
      <w:r>
        <w:rPr>
          <w:rFonts w:ascii="Arial" w:eastAsia="Arial" w:hAnsi="Arial" w:cs="Arial"/>
          <w:u w:val="single"/>
        </w:rPr>
        <w:t>G-3</w:t>
      </w:r>
      <w:bookmarkEnd w:id="76"/>
      <w:r>
        <w:rPr>
          <w:rFonts w:ascii="Arial" w:eastAsia="Arial" w:hAnsi="Arial" w:cs="Arial"/>
          <w:u w:val="single"/>
        </w:rPr>
        <w:t xml:space="preserve">.  </w:t>
      </w:r>
      <w:bookmarkStart w:id="78" w:name="_STATUTE_CONTENT__73e644b0_3135_4660_b28"/>
      <w:r>
        <w:rPr>
          <w:rFonts w:ascii="Arial" w:eastAsia="Arial" w:hAnsi="Arial" w:cs="Arial"/>
          <w:u w:val="single"/>
        </w:rPr>
        <w:t>Notwithstanding paragraph G, beginning July 1, 2023 and until December 31, 2026, a person who is a noncitizen legally admitted to the United States to the extent that coverage is allowable by federal law if the person is:</w:t>
      </w:r>
    </w:p>
    <w:p w:rsidR="00D821EA" w:rsidP="00D821EA">
      <w:pPr>
        <w:ind w:left="1080"/>
        <w:rPr>
          <w:rFonts w:ascii="Arial" w:eastAsia="Arial" w:hAnsi="Arial" w:cs="Arial"/>
        </w:rPr>
      </w:pPr>
      <w:bookmarkStart w:id="79" w:name="_STATUTE_SP__30f299cb_6aa0_40d1_8cd4_820"/>
      <w:bookmarkEnd w:id="78"/>
      <w:r>
        <w:rPr>
          <w:rFonts w:ascii="Arial" w:eastAsia="Arial" w:hAnsi="Arial" w:cs="Arial"/>
          <w:u w:val="single"/>
        </w:rPr>
        <w:t>(</w:t>
      </w:r>
      <w:bookmarkStart w:id="80" w:name="_STATUTE_NUMBER__1b1826c6_51da_4d25_ad37"/>
      <w:r>
        <w:rPr>
          <w:rFonts w:ascii="Arial" w:eastAsia="Arial" w:hAnsi="Arial" w:cs="Arial"/>
          <w:u w:val="single"/>
        </w:rPr>
        <w:t>1</w:t>
      </w:r>
      <w:bookmarkEnd w:id="80"/>
      <w:r>
        <w:rPr>
          <w:rFonts w:ascii="Arial" w:eastAsia="Arial" w:hAnsi="Arial" w:cs="Arial"/>
          <w:u w:val="single"/>
        </w:rPr>
        <w:t xml:space="preserve">)  </w:t>
      </w:r>
      <w:bookmarkStart w:id="81" w:name="_STATUTE_CONTENT__78af3fca_195d_484c_b3e"/>
      <w:r>
        <w:rPr>
          <w:rFonts w:ascii="Arial" w:eastAsia="Arial" w:hAnsi="Arial" w:cs="Arial"/>
          <w:u w:val="single"/>
        </w:rPr>
        <w:t>A woman during her pregnancy and up to 12 months following delivery; or</w:t>
      </w:r>
    </w:p>
    <w:p w:rsidR="00D821EA" w:rsidP="00D821EA">
      <w:pPr>
        <w:ind w:left="1080"/>
        <w:rPr>
          <w:rFonts w:ascii="Arial" w:eastAsia="Arial" w:hAnsi="Arial" w:cs="Arial"/>
        </w:rPr>
      </w:pPr>
      <w:bookmarkStart w:id="82" w:name="_STATUTE_SP__c39540e4_3b44_4d3e_b15a_5bd"/>
      <w:bookmarkEnd w:id="79"/>
      <w:bookmarkEnd w:id="81"/>
      <w:r>
        <w:rPr>
          <w:rFonts w:ascii="Arial" w:eastAsia="Arial" w:hAnsi="Arial" w:cs="Arial"/>
          <w:u w:val="single"/>
        </w:rPr>
        <w:t>(</w:t>
      </w:r>
      <w:bookmarkStart w:id="83" w:name="_STATUTE_NUMBER__5f6c9e88_50c9_4215_94de"/>
      <w:r>
        <w:rPr>
          <w:rFonts w:ascii="Arial" w:eastAsia="Arial" w:hAnsi="Arial" w:cs="Arial"/>
          <w:u w:val="single"/>
        </w:rPr>
        <w:t>2</w:t>
      </w:r>
      <w:bookmarkEnd w:id="83"/>
      <w:r>
        <w:rPr>
          <w:rFonts w:ascii="Arial" w:eastAsia="Arial" w:hAnsi="Arial" w:cs="Arial"/>
          <w:u w:val="single"/>
        </w:rPr>
        <w:t xml:space="preserve">)  </w:t>
      </w:r>
      <w:bookmarkStart w:id="84" w:name="_STATUTE_CONTENT__7ce76fa5_a49e_4814_9d1"/>
      <w:r>
        <w:rPr>
          <w:rFonts w:ascii="Arial" w:eastAsia="Arial" w:hAnsi="Arial" w:cs="Arial"/>
          <w:u w:val="single"/>
        </w:rPr>
        <w:t>A child under 21 years of age; and</w:t>
      </w:r>
    </w:p>
    <w:p w:rsidR="00D821EA" w:rsidP="00D821EA">
      <w:pPr>
        <w:ind w:left="360" w:firstLine="360"/>
        <w:rPr>
          <w:rFonts w:ascii="Arial" w:eastAsia="Arial" w:hAnsi="Arial" w:cs="Arial"/>
        </w:rPr>
      </w:pPr>
      <w:bookmarkStart w:id="85" w:name="_BILL_SECTION_UNALLOCATED__a418bbef_8226"/>
      <w:bookmarkEnd w:id="74"/>
      <w:bookmarkEnd w:id="77"/>
      <w:bookmarkEnd w:id="82"/>
      <w:bookmarkEnd w:id="84"/>
      <w:r>
        <w:rPr>
          <w:rFonts w:ascii="Arial" w:eastAsia="Arial" w:hAnsi="Arial" w:cs="Arial"/>
          <w:b/>
          <w:sz w:val="24"/>
        </w:rPr>
        <w:t xml:space="preserve">Sec. </w:t>
      </w:r>
      <w:bookmarkStart w:id="86" w:name="_BILL_SECTION_NUMBER__96eb9abf_a376_41c6"/>
      <w:r>
        <w:rPr>
          <w:rFonts w:ascii="Arial" w:eastAsia="Arial" w:hAnsi="Arial" w:cs="Arial"/>
          <w:b/>
          <w:sz w:val="24"/>
        </w:rPr>
        <w:t>8</w:t>
      </w:r>
      <w:bookmarkEnd w:id="86"/>
      <w:r>
        <w:rPr>
          <w:rFonts w:ascii="Arial" w:eastAsia="Arial" w:hAnsi="Arial" w:cs="Arial"/>
          <w:b/>
          <w:sz w:val="24"/>
        </w:rPr>
        <w:t>.</w:t>
      </w:r>
      <w:r>
        <w:rPr>
          <w:rFonts w:ascii="Arial" w:eastAsia="Arial" w:hAnsi="Arial" w:cs="Arial"/>
        </w:rPr>
        <w:t xml:space="preserve">  </w:t>
      </w:r>
      <w:r w:rsidRPr="0043336F">
        <w:rPr>
          <w:rFonts w:ascii="Arial" w:eastAsia="Arial" w:hAnsi="Arial" w:cs="Arial"/>
          <w:b/>
          <w:sz w:val="24"/>
          <w:szCs w:val="24"/>
        </w:rPr>
        <w:t>State plan amendment.</w:t>
      </w:r>
      <w:r>
        <w:rPr>
          <w:rFonts w:ascii="Arial" w:eastAsia="Arial" w:hAnsi="Arial" w:cs="Arial"/>
        </w:rPr>
        <w:t xml:space="preserve">  The Department of Health and Human Services shall, no later than January 1, 2022, submit requests for any state plan amendments to the United States Department of Health and Human Services, Centers for Medicare and Medicaid Services determined necessary in order to accomplish the purposes of this Act.  The department shall take all reasonable and necessary steps to seek approval of the state plan amendment.</w:t>
      </w:r>
    </w:p>
    <w:p w:rsidR="00D821EA" w:rsidP="00D821EA">
      <w:pPr>
        <w:ind w:left="360" w:firstLine="360"/>
        <w:rPr>
          <w:rFonts w:ascii="Arial" w:eastAsia="Arial" w:hAnsi="Arial" w:cs="Arial"/>
        </w:rPr>
      </w:pPr>
      <w:bookmarkStart w:id="87" w:name="_BILL_SECTION_UNALLOCATED__29096d93_8cd9"/>
      <w:bookmarkEnd w:id="85"/>
      <w:r>
        <w:rPr>
          <w:rFonts w:ascii="Arial" w:eastAsia="Arial" w:hAnsi="Arial" w:cs="Arial"/>
          <w:b/>
          <w:sz w:val="24"/>
        </w:rPr>
        <w:t xml:space="preserve">Sec. </w:t>
      </w:r>
      <w:bookmarkStart w:id="88" w:name="_BILL_SECTION_NUMBER__79946712_33b8_486a"/>
      <w:r>
        <w:rPr>
          <w:rFonts w:ascii="Arial" w:eastAsia="Arial" w:hAnsi="Arial" w:cs="Arial"/>
          <w:b/>
          <w:sz w:val="24"/>
        </w:rPr>
        <w:t>9</w:t>
      </w:r>
      <w:bookmarkEnd w:id="88"/>
      <w:r>
        <w:rPr>
          <w:rFonts w:ascii="Arial" w:eastAsia="Arial" w:hAnsi="Arial" w:cs="Arial"/>
          <w:b/>
          <w:sz w:val="24"/>
        </w:rPr>
        <w:t>.</w:t>
      </w:r>
      <w:r>
        <w:rPr>
          <w:rFonts w:ascii="Arial" w:eastAsia="Arial" w:hAnsi="Arial" w:cs="Arial"/>
        </w:rPr>
        <w:t xml:space="preserve">  </w:t>
      </w:r>
      <w:r w:rsidRPr="002060C8">
        <w:rPr>
          <w:rFonts w:ascii="Arial" w:eastAsia="Arial" w:hAnsi="Arial" w:cs="Arial"/>
          <w:b/>
          <w:sz w:val="24"/>
          <w:szCs w:val="24"/>
        </w:rPr>
        <w:t>Report.</w:t>
      </w:r>
      <w:r w:rsidRPr="002060C8">
        <w:rPr>
          <w:rFonts w:ascii="Arial" w:eastAsia="Arial" w:hAnsi="Arial" w:cs="Arial"/>
        </w:rPr>
        <w:t xml:space="preserve">  The Department of Health and Human Services shall report annually to the joint standing committee of the Legislature having jurisdiction over health and human services matters, beginning </w:t>
      </w:r>
      <w:r>
        <w:rPr>
          <w:rFonts w:ascii="Arial" w:eastAsia="Arial" w:hAnsi="Arial" w:cs="Arial"/>
        </w:rPr>
        <w:t>February</w:t>
      </w:r>
      <w:r w:rsidRPr="002060C8">
        <w:rPr>
          <w:rFonts w:ascii="Arial" w:eastAsia="Arial" w:hAnsi="Arial" w:cs="Arial"/>
        </w:rPr>
        <w:t xml:space="preserve"> 1, 2023 </w:t>
      </w:r>
      <w:r>
        <w:rPr>
          <w:rFonts w:ascii="Arial" w:eastAsia="Arial" w:hAnsi="Arial" w:cs="Arial"/>
        </w:rPr>
        <w:t xml:space="preserve">and </w:t>
      </w:r>
      <w:r w:rsidRPr="002060C8">
        <w:rPr>
          <w:rFonts w:ascii="Arial" w:eastAsia="Arial" w:hAnsi="Arial" w:cs="Arial"/>
        </w:rPr>
        <w:t xml:space="preserve">until </w:t>
      </w:r>
      <w:r>
        <w:rPr>
          <w:rFonts w:ascii="Arial" w:eastAsia="Arial" w:hAnsi="Arial" w:cs="Arial"/>
        </w:rPr>
        <w:t>February</w:t>
      </w:r>
      <w:r w:rsidRPr="002060C8">
        <w:rPr>
          <w:rFonts w:ascii="Arial" w:eastAsia="Arial" w:hAnsi="Arial" w:cs="Arial"/>
        </w:rPr>
        <w:t xml:space="preserve"> 1, 2026, about the extension of postpartum coverage </w:t>
      </w:r>
      <w:r>
        <w:rPr>
          <w:rFonts w:ascii="Arial" w:eastAsia="Arial" w:hAnsi="Arial" w:cs="Arial"/>
        </w:rPr>
        <w:t>in the Maine Revised Statutes, Title 22, section 3174-G, subsection 1</w:t>
      </w:r>
      <w:r w:rsidRPr="002060C8">
        <w:rPr>
          <w:rFonts w:ascii="Arial" w:eastAsia="Arial" w:hAnsi="Arial" w:cs="Arial"/>
        </w:rPr>
        <w:t>.  The joint standing committee of the Legislature having jurisdiction over health and human services matters is authorized to report out legislation to the Legislature regarding each report.</w:t>
      </w:r>
    </w:p>
    <w:p w:rsidR="00D821EA" w:rsidP="00D821EA">
      <w:pPr>
        <w:ind w:left="360" w:firstLine="360"/>
        <w:rPr>
          <w:rFonts w:ascii="Arial" w:eastAsia="Arial" w:hAnsi="Arial" w:cs="Arial"/>
        </w:rPr>
      </w:pPr>
      <w:bookmarkStart w:id="89" w:name="_APPROP_SECTION__3c0894b3_8a4a_470a_a53a"/>
      <w:bookmarkEnd w:id="87"/>
      <w:r>
        <w:rPr>
          <w:rFonts w:ascii="Arial" w:eastAsia="Arial" w:hAnsi="Arial" w:cs="Arial"/>
          <w:b/>
          <w:sz w:val="24"/>
        </w:rPr>
        <w:t xml:space="preserve">Sec. </w:t>
      </w:r>
      <w:bookmarkStart w:id="90" w:name="_BILL_SECTION_NUMBER__47e4eca2_4631_4eb2"/>
      <w:r>
        <w:rPr>
          <w:rFonts w:ascii="Arial" w:eastAsia="Arial" w:hAnsi="Arial" w:cs="Arial"/>
          <w:b/>
          <w:sz w:val="24"/>
        </w:rPr>
        <w:t>10</w:t>
      </w:r>
      <w:bookmarkEnd w:id="90"/>
      <w:r>
        <w:rPr>
          <w:rFonts w:ascii="Arial" w:eastAsia="Arial" w:hAnsi="Arial" w:cs="Arial"/>
          <w:b/>
          <w:sz w:val="24"/>
        </w:rPr>
        <w:t>.  Appropriations and allocations.</w:t>
      </w:r>
      <w:r>
        <w:rPr>
          <w:rFonts w:ascii="Arial" w:eastAsia="Arial" w:hAnsi="Arial" w:cs="Arial"/>
        </w:rPr>
        <w:t>  The following appropriations and allocations are made.</w:t>
      </w:r>
    </w:p>
    <w:p w:rsidR="00D821EA" w:rsidP="00D821EA">
      <w:pPr>
        <w:pStyle w:val="BPSParagraphLeftAlign"/>
        <w:suppressAutoHyphens/>
        <w:ind w:left="360"/>
        <w:rPr>
          <w:rFonts w:ascii="Arial" w:eastAsia="Arial" w:hAnsi="Arial" w:cs="Arial"/>
        </w:rPr>
      </w:pPr>
      <w:r>
        <w:rPr>
          <w:rFonts w:ascii="Arial" w:eastAsia="Arial" w:hAnsi="Arial" w:cs="Arial"/>
          <w:b/>
        </w:rPr>
        <w:t>HEALTH AND HUMAN SERVICES, DEPARTMENT OF</w:t>
      </w:r>
    </w:p>
    <w:p w:rsidR="00D821EA" w:rsidP="00D821EA">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D821EA" w:rsidP="00D821EA">
      <w:pPr>
        <w:ind w:left="360"/>
        <w:rPr>
          <w:rFonts w:ascii="Arial" w:eastAsia="Arial" w:hAnsi="Arial" w:cs="Arial"/>
        </w:rPr>
      </w:pPr>
      <w:r>
        <w:rPr>
          <w:rFonts w:ascii="Arial" w:eastAsia="Arial" w:hAnsi="Arial" w:cs="Arial"/>
        </w:rPr>
        <w:t>Initiative: Provides appropriations and allocations to increase up to 12 months the period of time following delivery of a baby during which a woman may be eligible for services under the MaineCare program.</w:t>
      </w:r>
    </w:p>
    <w:tbl>
      <w:tblPr>
        <w:tblStyle w:val="BPSTable"/>
        <w:tblW w:w="0" w:type="auto"/>
        <w:tblInd w:w="360" w:type="dxa"/>
        <w:tblCellMar>
          <w:left w:w="0" w:type="dxa"/>
          <w:right w:w="0" w:type="dxa"/>
        </w:tblCellMar>
        <w:tblLook w:val="04A0"/>
      </w:tblPr>
      <w:tblGrid>
        <w:gridCol w:w="5009"/>
        <w:gridCol w:w="1463"/>
        <w:gridCol w:w="1463"/>
      </w:tblGrid>
      <w:tr w:rsidTr="00263229">
        <w:tblPrEx>
          <w:tblW w:w="0" w:type="auto"/>
          <w:tblInd w:w="360" w:type="dxa"/>
          <w:tblCellMar>
            <w:left w:w="0" w:type="dxa"/>
            <w:right w:w="0" w:type="dxa"/>
          </w:tblCellMar>
          <w:tblLook w:val="04A0"/>
        </w:tblPrEx>
        <w:tc>
          <w:tcPr>
            <w:tcW w:w="5069" w:type="dxa"/>
          </w:tcPr>
          <w:p w:rsidR="00D821EA" w:rsidP="00263229">
            <w:pPr>
              <w:rPr>
                <w:rFonts w:ascii="Arial" w:eastAsia="Arial" w:hAnsi="Arial" w:cs="Arial"/>
              </w:rPr>
            </w:pPr>
            <w:r>
              <w:rPr>
                <w:rFonts w:ascii="Arial" w:eastAsia="Arial" w:hAnsi="Arial" w:cs="Arial"/>
                <w:b/>
              </w:rPr>
              <w:t>GENERAL FUND</w:t>
            </w:r>
          </w:p>
        </w:tc>
        <w:tc>
          <w:tcPr>
            <w:tcW w:w="1469" w:type="dxa"/>
          </w:tcPr>
          <w:p w:rsidR="00D821EA" w:rsidP="00263229">
            <w:pPr>
              <w:jc w:val="right"/>
              <w:rPr>
                <w:rFonts w:ascii="Arial" w:eastAsia="Arial" w:hAnsi="Arial" w:cs="Arial"/>
              </w:rPr>
            </w:pPr>
            <w:r>
              <w:rPr>
                <w:rFonts w:ascii="Arial" w:eastAsia="Arial" w:hAnsi="Arial" w:cs="Arial"/>
                <w:b/>
              </w:rPr>
              <w:t>2021-22</w:t>
            </w:r>
          </w:p>
        </w:tc>
        <w:tc>
          <w:tcPr>
            <w:tcW w:w="1469" w:type="dxa"/>
          </w:tcPr>
          <w:p w:rsidR="00D821EA" w:rsidP="00263229">
            <w:pPr>
              <w:jc w:val="right"/>
              <w:rPr>
                <w:rFonts w:ascii="Arial" w:eastAsia="Arial" w:hAnsi="Arial" w:cs="Arial"/>
              </w:rPr>
            </w:pPr>
            <w:r>
              <w:rPr>
                <w:rFonts w:ascii="Arial" w:eastAsia="Arial" w:hAnsi="Arial" w:cs="Arial"/>
                <w:b/>
              </w:rPr>
              <w:t>2022-23</w:t>
            </w:r>
          </w:p>
        </w:tc>
      </w:tr>
      <w:tr w:rsidTr="00263229">
        <w:tblPrEx>
          <w:tblW w:w="0" w:type="auto"/>
          <w:tblInd w:w="360" w:type="dxa"/>
          <w:tblCellMar>
            <w:left w:w="0" w:type="dxa"/>
            <w:right w:w="0" w:type="dxa"/>
          </w:tblCellMar>
          <w:tblLook w:val="04A0"/>
        </w:tblPrEx>
        <w:tc>
          <w:tcPr>
            <w:tcW w:w="5069" w:type="dxa"/>
          </w:tcPr>
          <w:p w:rsidR="00D821EA" w:rsidP="00263229">
            <w:pPr>
              <w:ind w:left="180"/>
              <w:rPr>
                <w:rFonts w:ascii="Arial" w:eastAsia="Arial" w:hAnsi="Arial" w:cs="Arial"/>
              </w:rPr>
            </w:pPr>
            <w:r>
              <w:rPr>
                <w:rFonts w:ascii="Arial" w:eastAsia="Arial" w:hAnsi="Arial" w:cs="Arial"/>
              </w:rPr>
              <w:t>All Other</w:t>
            </w:r>
          </w:p>
        </w:tc>
        <w:tc>
          <w:tcPr>
            <w:tcW w:w="1469" w:type="dxa"/>
          </w:tcPr>
          <w:p w:rsidR="00D821EA" w:rsidP="00263229">
            <w:pPr>
              <w:jc w:val="right"/>
              <w:rPr>
                <w:rFonts w:ascii="Arial" w:eastAsia="Arial" w:hAnsi="Arial" w:cs="Arial"/>
              </w:rPr>
            </w:pPr>
            <w:r>
              <w:rPr>
                <w:rFonts w:ascii="Arial" w:eastAsia="Arial" w:hAnsi="Arial" w:cs="Arial"/>
              </w:rPr>
              <w:t>$79,920</w:t>
            </w:r>
          </w:p>
        </w:tc>
        <w:tc>
          <w:tcPr>
            <w:tcW w:w="1469" w:type="dxa"/>
          </w:tcPr>
          <w:p w:rsidR="00D821EA" w:rsidP="00263229">
            <w:pPr>
              <w:jc w:val="right"/>
              <w:rPr>
                <w:rFonts w:ascii="Arial" w:eastAsia="Arial" w:hAnsi="Arial" w:cs="Arial"/>
              </w:rPr>
            </w:pPr>
            <w:r>
              <w:rPr>
                <w:rFonts w:ascii="Arial" w:eastAsia="Arial" w:hAnsi="Arial" w:cs="Arial"/>
              </w:rPr>
              <w:t>$279,720</w:t>
            </w:r>
          </w:p>
        </w:tc>
      </w:tr>
      <w:tr w:rsidTr="00263229">
        <w:tblPrEx>
          <w:tblW w:w="0" w:type="auto"/>
          <w:tblInd w:w="360" w:type="dxa"/>
          <w:tblCellMar>
            <w:left w:w="0" w:type="dxa"/>
            <w:right w:w="0" w:type="dxa"/>
          </w:tblCellMar>
          <w:tblLook w:val="04A0"/>
        </w:tblPrEx>
        <w:tc>
          <w:tcPr>
            <w:tcW w:w="5069" w:type="dxa"/>
          </w:tcPr>
          <w:p w:rsidR="00D821EA" w:rsidP="00263229">
            <w:pPr>
              <w:rPr>
                <w:rFonts w:ascii="Arial" w:eastAsia="Arial" w:hAnsi="Arial" w:cs="Arial"/>
              </w:rPr>
            </w:pPr>
            <w:r>
              <w:rPr>
                <w:rFonts w:ascii="Arial" w:eastAsia="Arial" w:hAnsi="Arial" w:cs="Arial"/>
              </w:rPr>
              <w:t xml:space="preserve"> </w:t>
            </w:r>
          </w:p>
        </w:tc>
        <w:tc>
          <w:tcPr>
            <w:tcW w:w="1469" w:type="dxa"/>
          </w:tcPr>
          <w:p w:rsidR="00D821EA" w:rsidP="00263229">
            <w:pPr>
              <w:jc w:val="right"/>
              <w:rPr>
                <w:rFonts w:ascii="Arial" w:eastAsia="Arial" w:hAnsi="Arial" w:cs="Arial"/>
              </w:rPr>
            </w:pPr>
            <w:r>
              <w:rPr>
                <w:rFonts w:ascii="Arial" w:eastAsia="Arial" w:hAnsi="Arial" w:cs="Arial"/>
              </w:rPr>
              <w:t>__________</w:t>
            </w:r>
          </w:p>
        </w:tc>
        <w:tc>
          <w:tcPr>
            <w:tcW w:w="1469" w:type="dxa"/>
          </w:tcPr>
          <w:p w:rsidR="00D821EA" w:rsidP="00263229">
            <w:pPr>
              <w:jc w:val="right"/>
              <w:rPr>
                <w:rFonts w:ascii="Arial" w:eastAsia="Arial" w:hAnsi="Arial" w:cs="Arial"/>
              </w:rPr>
            </w:pPr>
            <w:r>
              <w:rPr>
                <w:rFonts w:ascii="Arial" w:eastAsia="Arial" w:hAnsi="Arial" w:cs="Arial"/>
              </w:rPr>
              <w:t>__________</w:t>
            </w:r>
          </w:p>
        </w:tc>
      </w:tr>
      <w:tr w:rsidTr="00263229">
        <w:tblPrEx>
          <w:tblW w:w="0" w:type="auto"/>
          <w:tblInd w:w="360" w:type="dxa"/>
          <w:tblCellMar>
            <w:left w:w="0" w:type="dxa"/>
            <w:right w:w="0" w:type="dxa"/>
          </w:tblCellMar>
          <w:tblLook w:val="04A0"/>
        </w:tblPrEx>
        <w:tc>
          <w:tcPr>
            <w:tcW w:w="5069" w:type="dxa"/>
          </w:tcPr>
          <w:p w:rsidR="00D821EA" w:rsidP="00263229">
            <w:pPr>
              <w:rPr>
                <w:rFonts w:ascii="Arial" w:eastAsia="Arial" w:hAnsi="Arial" w:cs="Arial"/>
              </w:rPr>
            </w:pPr>
            <w:r>
              <w:rPr>
                <w:rFonts w:ascii="Arial" w:eastAsia="Arial" w:hAnsi="Arial" w:cs="Arial"/>
              </w:rPr>
              <w:t>GENERAL FUND TOTAL</w:t>
            </w:r>
          </w:p>
        </w:tc>
        <w:tc>
          <w:tcPr>
            <w:tcW w:w="1469" w:type="dxa"/>
          </w:tcPr>
          <w:p w:rsidR="00D821EA" w:rsidP="00263229">
            <w:pPr>
              <w:jc w:val="right"/>
              <w:rPr>
                <w:rFonts w:ascii="Arial" w:eastAsia="Arial" w:hAnsi="Arial" w:cs="Arial"/>
              </w:rPr>
            </w:pPr>
            <w:r>
              <w:rPr>
                <w:rFonts w:ascii="Arial" w:eastAsia="Arial" w:hAnsi="Arial" w:cs="Arial"/>
              </w:rPr>
              <w:t>$79,920</w:t>
            </w:r>
          </w:p>
        </w:tc>
        <w:tc>
          <w:tcPr>
            <w:tcW w:w="1469" w:type="dxa"/>
          </w:tcPr>
          <w:p w:rsidR="00D821EA" w:rsidP="00263229">
            <w:pPr>
              <w:jc w:val="right"/>
              <w:rPr>
                <w:rFonts w:ascii="Arial" w:eastAsia="Arial" w:hAnsi="Arial" w:cs="Arial"/>
              </w:rPr>
            </w:pPr>
            <w:r>
              <w:rPr>
                <w:rFonts w:ascii="Arial" w:eastAsia="Arial" w:hAnsi="Arial" w:cs="Arial"/>
              </w:rPr>
              <w:t>$279,720</w:t>
            </w:r>
          </w:p>
        </w:tc>
      </w:tr>
    </w:tbl>
    <w:p w:rsidR="00D821EA" w:rsidP="00D821EA">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263229">
        <w:tblPrEx>
          <w:tblW w:w="0" w:type="auto"/>
          <w:tblInd w:w="360" w:type="dxa"/>
          <w:tblCellMar>
            <w:left w:w="0" w:type="dxa"/>
            <w:right w:w="0" w:type="dxa"/>
          </w:tblCellMar>
          <w:tblLook w:val="04A0"/>
        </w:tblPrEx>
        <w:tc>
          <w:tcPr>
            <w:tcW w:w="5069" w:type="dxa"/>
          </w:tcPr>
          <w:p w:rsidR="00D821EA" w:rsidP="00263229">
            <w:pPr>
              <w:rPr>
                <w:rFonts w:ascii="Arial" w:eastAsia="Arial" w:hAnsi="Arial" w:cs="Arial"/>
              </w:rPr>
            </w:pPr>
            <w:r>
              <w:rPr>
                <w:rFonts w:ascii="Arial" w:eastAsia="Arial" w:hAnsi="Arial" w:cs="Arial"/>
                <w:b/>
              </w:rPr>
              <w:t>FEDERAL EXPENDITURES FUND</w:t>
            </w:r>
          </w:p>
        </w:tc>
        <w:tc>
          <w:tcPr>
            <w:tcW w:w="1469" w:type="dxa"/>
          </w:tcPr>
          <w:p w:rsidR="00D821EA" w:rsidP="00263229">
            <w:pPr>
              <w:jc w:val="right"/>
              <w:rPr>
                <w:rFonts w:ascii="Arial" w:eastAsia="Arial" w:hAnsi="Arial" w:cs="Arial"/>
              </w:rPr>
            </w:pPr>
            <w:r>
              <w:rPr>
                <w:rFonts w:ascii="Arial" w:eastAsia="Arial" w:hAnsi="Arial" w:cs="Arial"/>
                <w:b/>
              </w:rPr>
              <w:t>2021-22</w:t>
            </w:r>
          </w:p>
        </w:tc>
        <w:tc>
          <w:tcPr>
            <w:tcW w:w="1469" w:type="dxa"/>
          </w:tcPr>
          <w:p w:rsidR="00D821EA" w:rsidP="00263229">
            <w:pPr>
              <w:jc w:val="right"/>
              <w:rPr>
                <w:rFonts w:ascii="Arial" w:eastAsia="Arial" w:hAnsi="Arial" w:cs="Arial"/>
              </w:rPr>
            </w:pPr>
            <w:r>
              <w:rPr>
                <w:rFonts w:ascii="Arial" w:eastAsia="Arial" w:hAnsi="Arial" w:cs="Arial"/>
                <w:b/>
              </w:rPr>
              <w:t>2022-23</w:t>
            </w:r>
          </w:p>
        </w:tc>
      </w:tr>
      <w:tr w:rsidTr="00263229">
        <w:tblPrEx>
          <w:tblW w:w="0" w:type="auto"/>
          <w:tblInd w:w="360" w:type="dxa"/>
          <w:tblCellMar>
            <w:left w:w="0" w:type="dxa"/>
            <w:right w:w="0" w:type="dxa"/>
          </w:tblCellMar>
          <w:tblLook w:val="04A0"/>
        </w:tblPrEx>
        <w:tc>
          <w:tcPr>
            <w:tcW w:w="5069" w:type="dxa"/>
          </w:tcPr>
          <w:p w:rsidR="00D821EA" w:rsidP="00263229">
            <w:pPr>
              <w:ind w:left="180"/>
              <w:rPr>
                <w:rFonts w:ascii="Arial" w:eastAsia="Arial" w:hAnsi="Arial" w:cs="Arial"/>
              </w:rPr>
            </w:pPr>
            <w:r>
              <w:rPr>
                <w:rFonts w:ascii="Arial" w:eastAsia="Arial" w:hAnsi="Arial" w:cs="Arial"/>
              </w:rPr>
              <w:t>All Other</w:t>
            </w:r>
          </w:p>
        </w:tc>
        <w:tc>
          <w:tcPr>
            <w:tcW w:w="1469" w:type="dxa"/>
          </w:tcPr>
          <w:p w:rsidR="00D821EA" w:rsidP="00263229">
            <w:pPr>
              <w:jc w:val="right"/>
              <w:rPr>
                <w:rFonts w:ascii="Arial" w:eastAsia="Arial" w:hAnsi="Arial" w:cs="Arial"/>
              </w:rPr>
            </w:pPr>
            <w:r>
              <w:rPr>
                <w:rFonts w:ascii="Arial" w:eastAsia="Arial" w:hAnsi="Arial" w:cs="Arial"/>
              </w:rPr>
              <w:t>$142,080</w:t>
            </w:r>
          </w:p>
        </w:tc>
        <w:tc>
          <w:tcPr>
            <w:tcW w:w="1469" w:type="dxa"/>
          </w:tcPr>
          <w:p w:rsidR="00D821EA" w:rsidP="00263229">
            <w:pPr>
              <w:jc w:val="right"/>
              <w:rPr>
                <w:rFonts w:ascii="Arial" w:eastAsia="Arial" w:hAnsi="Arial" w:cs="Arial"/>
              </w:rPr>
            </w:pPr>
            <w:r>
              <w:rPr>
                <w:rFonts w:ascii="Arial" w:eastAsia="Arial" w:hAnsi="Arial" w:cs="Arial"/>
              </w:rPr>
              <w:t>$497,280</w:t>
            </w:r>
          </w:p>
        </w:tc>
      </w:tr>
      <w:tr w:rsidTr="00263229">
        <w:tblPrEx>
          <w:tblW w:w="0" w:type="auto"/>
          <w:tblInd w:w="360" w:type="dxa"/>
          <w:tblCellMar>
            <w:left w:w="0" w:type="dxa"/>
            <w:right w:w="0" w:type="dxa"/>
          </w:tblCellMar>
          <w:tblLook w:val="04A0"/>
        </w:tblPrEx>
        <w:tc>
          <w:tcPr>
            <w:tcW w:w="5069" w:type="dxa"/>
          </w:tcPr>
          <w:p w:rsidR="00D821EA" w:rsidP="00263229">
            <w:pPr>
              <w:rPr>
                <w:rFonts w:ascii="Arial" w:eastAsia="Arial" w:hAnsi="Arial" w:cs="Arial"/>
              </w:rPr>
            </w:pPr>
            <w:r>
              <w:rPr>
                <w:rFonts w:ascii="Arial" w:eastAsia="Arial" w:hAnsi="Arial" w:cs="Arial"/>
              </w:rPr>
              <w:t xml:space="preserve"> </w:t>
            </w:r>
          </w:p>
        </w:tc>
        <w:tc>
          <w:tcPr>
            <w:tcW w:w="1469" w:type="dxa"/>
          </w:tcPr>
          <w:p w:rsidR="00D821EA" w:rsidP="00263229">
            <w:pPr>
              <w:jc w:val="right"/>
              <w:rPr>
                <w:rFonts w:ascii="Arial" w:eastAsia="Arial" w:hAnsi="Arial" w:cs="Arial"/>
              </w:rPr>
            </w:pPr>
            <w:r>
              <w:rPr>
                <w:rFonts w:ascii="Arial" w:eastAsia="Arial" w:hAnsi="Arial" w:cs="Arial"/>
              </w:rPr>
              <w:t>__________</w:t>
            </w:r>
          </w:p>
        </w:tc>
        <w:tc>
          <w:tcPr>
            <w:tcW w:w="1469" w:type="dxa"/>
          </w:tcPr>
          <w:p w:rsidR="00D821EA" w:rsidP="00263229">
            <w:pPr>
              <w:jc w:val="right"/>
              <w:rPr>
                <w:rFonts w:ascii="Arial" w:eastAsia="Arial" w:hAnsi="Arial" w:cs="Arial"/>
              </w:rPr>
            </w:pPr>
            <w:r>
              <w:rPr>
                <w:rFonts w:ascii="Arial" w:eastAsia="Arial" w:hAnsi="Arial" w:cs="Arial"/>
              </w:rPr>
              <w:t>__________</w:t>
            </w:r>
          </w:p>
        </w:tc>
      </w:tr>
      <w:tr w:rsidTr="00263229">
        <w:tblPrEx>
          <w:tblW w:w="0" w:type="auto"/>
          <w:tblInd w:w="360" w:type="dxa"/>
          <w:tblCellMar>
            <w:left w:w="0" w:type="dxa"/>
            <w:right w:w="0" w:type="dxa"/>
          </w:tblCellMar>
          <w:tblLook w:val="04A0"/>
        </w:tblPrEx>
        <w:tc>
          <w:tcPr>
            <w:tcW w:w="5069" w:type="dxa"/>
          </w:tcPr>
          <w:p w:rsidR="00D821EA" w:rsidP="00263229">
            <w:pPr>
              <w:rPr>
                <w:rFonts w:ascii="Arial" w:eastAsia="Arial" w:hAnsi="Arial" w:cs="Arial"/>
              </w:rPr>
            </w:pPr>
            <w:r>
              <w:rPr>
                <w:rFonts w:ascii="Arial" w:eastAsia="Arial" w:hAnsi="Arial" w:cs="Arial"/>
              </w:rPr>
              <w:t>FEDERAL EXPENDITURES FUND TOTAL</w:t>
            </w:r>
          </w:p>
        </w:tc>
        <w:tc>
          <w:tcPr>
            <w:tcW w:w="1469" w:type="dxa"/>
          </w:tcPr>
          <w:p w:rsidR="00D821EA" w:rsidP="00263229">
            <w:pPr>
              <w:jc w:val="right"/>
              <w:rPr>
                <w:rFonts w:ascii="Arial" w:eastAsia="Arial" w:hAnsi="Arial" w:cs="Arial"/>
              </w:rPr>
            </w:pPr>
            <w:r>
              <w:rPr>
                <w:rFonts w:ascii="Arial" w:eastAsia="Arial" w:hAnsi="Arial" w:cs="Arial"/>
              </w:rPr>
              <w:t>$142,080</w:t>
            </w:r>
          </w:p>
        </w:tc>
        <w:tc>
          <w:tcPr>
            <w:tcW w:w="1469" w:type="dxa"/>
          </w:tcPr>
          <w:p w:rsidR="00D821EA" w:rsidP="00263229">
            <w:pPr>
              <w:jc w:val="right"/>
              <w:rPr>
                <w:rFonts w:ascii="Arial" w:eastAsia="Arial" w:hAnsi="Arial" w:cs="Arial"/>
              </w:rPr>
            </w:pPr>
            <w:r>
              <w:rPr>
                <w:rFonts w:ascii="Arial" w:eastAsia="Arial" w:hAnsi="Arial" w:cs="Arial"/>
              </w:rPr>
              <w:t>$497,280</w:t>
            </w:r>
          </w:p>
        </w:tc>
      </w:tr>
      <w:bookmarkEnd w:id="2"/>
      <w:bookmarkEnd w:id="5"/>
      <w:bookmarkEnd w:id="6"/>
      <w:bookmarkEnd w:id="89"/>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LR0878, item 6 - 130th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Provide Women Access to Affordable Postpartum Care</w:t>
    </w:r>
  </w:p>
  <w:p>
    <w:pPr>
      <w:suppressLineNumbers/>
      <w:spacing w:before="0" w:after="0"/>
      <w:jc w:val="center"/>
      <w:rPr>
        <w:rFonts w:ascii="Arial" w:eastAsia="Arial" w:hAnsi="Arial" w:cs="Arial"/>
      </w:rPr>
    </w:pPr>
    <w:r>
      <w:rPr>
        <w:rFonts w:ascii="Arial" w:eastAsia="Arial" w:hAnsi="Arial" w:cs="Arial"/>
        <w:sz w:val="22"/>
      </w:rPr>
      <w:t>L.D. 265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060C8"/>
    <w:rsid w:val="00257B1E"/>
    <w:rsid w:val="00263229"/>
    <w:rsid w:val="002A3C2A"/>
    <w:rsid w:val="002A3D55"/>
    <w:rsid w:val="002D357F"/>
    <w:rsid w:val="00361F3E"/>
    <w:rsid w:val="003D0121"/>
    <w:rsid w:val="003F2563"/>
    <w:rsid w:val="003F315D"/>
    <w:rsid w:val="00417176"/>
    <w:rsid w:val="00424146"/>
    <w:rsid w:val="0043336F"/>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821EA"/>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