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Certain Sales and Transfers of Adult Use Cannabis from Excise Tax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1095 - L.D. 1654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Exempt Certain Sales and Transfers of Adult Use Cannabis from Excise Tax</w:t>
      </w:r>
    </w:p>
    <w:p w:rsidR="00427BE2" w:rsidP="00427BE2">
      <w:pPr>
        <w:ind w:left="360"/>
        <w:rPr>
          <w:rFonts w:ascii="Arial" w:eastAsia="Arial" w:hAnsi="Arial" w:cs="Arial"/>
        </w:rPr>
      </w:pPr>
      <w:bookmarkStart w:id="0" w:name="_ENACTING_CLAUSE__9fab7a7f_cbff_4db2_831"/>
      <w:bookmarkStart w:id="1" w:name="_PAR__1_8af653a0_618c_43d9_a800_b1238369"/>
      <w:bookmarkStart w:id="2" w:name="_DOC_BODY_CONTAINER__94a12b9a_b23e_4892_"/>
      <w:r>
        <w:rPr>
          <w:rFonts w:ascii="Arial" w:eastAsia="Arial" w:hAnsi="Arial" w:cs="Arial"/>
          <w:b/>
        </w:rPr>
        <w:t>Be it enacted by the People of the State of Maine as follows:</w:t>
      </w:r>
    </w:p>
    <w:p w:rsidR="00427BE2" w:rsidP="00427BE2">
      <w:pPr>
        <w:ind w:left="360" w:firstLine="360"/>
        <w:rPr>
          <w:rFonts w:ascii="Arial" w:eastAsia="Arial" w:hAnsi="Arial" w:cs="Arial"/>
        </w:rPr>
      </w:pPr>
      <w:bookmarkStart w:id="3" w:name="_BILL_SECTION_HEADER__35a481b3_c8a0_45cd"/>
      <w:bookmarkStart w:id="4" w:name="_BILL_SECTION__3c5fffe1_72f5_40d2_9a9a_4"/>
      <w:bookmarkStart w:id="5" w:name="_INSTRUCTION__fa1c6f04_94c2_4a95_97d7_b1"/>
      <w:bookmarkStart w:id="6" w:name="_DOC_BODY_CONTENT__90812d47_6c24_40ad_8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4f78379_9bbd_492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36 MRSA §4921, sub-§9-A</w:t>
      </w:r>
      <w:r>
        <w:rPr>
          <w:rFonts w:ascii="Arial" w:eastAsia="Arial" w:hAnsi="Arial" w:cs="Arial"/>
        </w:rPr>
        <w:t xml:space="preserve"> is enacted to read:</w:t>
      </w:r>
    </w:p>
    <w:p w:rsidR="00427BE2" w:rsidP="00427BE2">
      <w:pPr>
        <w:ind w:left="360" w:firstLine="360"/>
        <w:rPr>
          <w:rFonts w:ascii="Arial" w:eastAsia="Arial" w:hAnsi="Arial" w:cs="Arial"/>
        </w:rPr>
      </w:pPr>
      <w:bookmarkStart w:id="8" w:name="_STATUTE_NUMBER__2aa9ec8e_65d6_431c_9998"/>
      <w:bookmarkStart w:id="9" w:name="_PROCESSED_CHANGE__ff027328_6c20_4b66_8d"/>
      <w:bookmarkStart w:id="10" w:name="_STATUTE_SS__65d7857b_10ab_47d1_b812_120"/>
      <w:bookmarkStart w:id="11" w:name="_REV__6e57125f_7675_4919_8a45_4b660b691c"/>
      <w:bookmarkStart w:id="12" w:name="_PROCESSED_CHANGE__99b99dcd_d383_47a2_ad"/>
      <w:bookmarkEnd w:id="3"/>
      <w:r>
        <w:rPr>
          <w:rFonts w:ascii="Arial" w:eastAsia="Arial" w:hAnsi="Arial" w:cs="Arial"/>
          <w:b/>
          <w:u w:val="single"/>
        </w:rPr>
        <w:t>9-A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78176b36_e44c_421a_ba"/>
      <w:r>
        <w:rPr>
          <w:rFonts w:ascii="Arial" w:eastAsia="Arial" w:hAnsi="Arial" w:cs="Arial"/>
          <w:b/>
          <w:u w:val="single"/>
        </w:rPr>
        <w:t xml:space="preserve">Products manufacturing facility. </w:t>
      </w:r>
      <w:r>
        <w:rPr>
          <w:rFonts w:ascii="Arial" w:eastAsia="Arial" w:hAnsi="Arial" w:cs="Arial"/>
          <w:u w:val="single"/>
        </w:rPr>
        <w:t xml:space="preserve"> </w:t>
      </w:r>
      <w:bookmarkStart w:id="14" w:name="_STATUTE_CONTENT__c6b059f2_03d7_42a7_812"/>
      <w:bookmarkEnd w:id="13"/>
      <w:r>
        <w:rPr>
          <w:rFonts w:ascii="Arial" w:eastAsia="Arial" w:hAnsi="Arial" w:cs="Arial"/>
          <w:u w:val="single"/>
        </w:rPr>
        <w:t>"Products manufacturing facility" has the same meaning as in Title 28-B, section 102-A, subsection 51.</w:t>
      </w:r>
      <w:bookmarkEnd w:id="9"/>
    </w:p>
    <w:p w:rsidR="00427BE2" w:rsidP="00427BE2">
      <w:pPr>
        <w:ind w:left="360" w:firstLine="360"/>
        <w:rPr>
          <w:rFonts w:ascii="Arial" w:eastAsia="Arial" w:hAnsi="Arial" w:cs="Arial"/>
        </w:rPr>
      </w:pPr>
      <w:bookmarkStart w:id="15" w:name="_BILL_SECTION_HEADER__492a9738_a4cd_4305"/>
      <w:bookmarkStart w:id="16" w:name="_BILL_SECTION__46792db8_2f68_4102_94f4_e"/>
      <w:bookmarkEnd w:id="4"/>
      <w:bookmarkEnd w:id="10"/>
      <w:bookmarkEnd w:id="11"/>
      <w:bookmarkEnd w:id="12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049127ca_1217_4314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36 MRSA §4923, sub-§6,</w:t>
      </w:r>
      <w:r>
        <w:rPr>
          <w:rFonts w:ascii="Arial" w:eastAsia="Arial" w:hAnsi="Arial" w:cs="Arial"/>
        </w:rPr>
        <w:t xml:space="preserve"> as enacted by PL 2019, c. 231, Pt. B, §7 and amended by PL 2021, c. 669, §5, is amended to read:</w:t>
      </w:r>
    </w:p>
    <w:p w:rsidR="00427BE2" w:rsidP="00427BE2">
      <w:pPr>
        <w:ind w:left="360" w:firstLine="360"/>
        <w:rPr>
          <w:rFonts w:ascii="Arial" w:eastAsia="Arial" w:hAnsi="Arial" w:cs="Arial"/>
        </w:rPr>
      </w:pPr>
      <w:bookmarkStart w:id="18" w:name="_STATUTE_NUMBER__71936248_e52b_4373_b111"/>
      <w:bookmarkStart w:id="19" w:name="_STATUTE_SS__f9873111_0e6f_4090_be20_210"/>
      <w:bookmarkEnd w:id="15"/>
      <w:r>
        <w:rPr>
          <w:rFonts w:ascii="Arial" w:eastAsia="Arial" w:hAnsi="Arial" w:cs="Arial"/>
          <w:b/>
        </w:rPr>
        <w:t>6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0" w:name="_STATUTE_HEADNOTE__178cd37b_4899_4c79_ae"/>
      <w:r>
        <w:rPr>
          <w:rFonts w:ascii="Arial" w:eastAsia="Arial" w:hAnsi="Arial" w:cs="Arial"/>
          <w:b/>
        </w:rPr>
        <w:t xml:space="preserve">Multiple licenses. </w:t>
      </w:r>
      <w:bookmarkEnd w:id="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" w:name="_STATUTE_CONTENT__241d50ee_a8a3_4cba_ada"/>
      <w:r>
        <w:rPr>
          <w:rFonts w:ascii="Arial" w:eastAsia="Arial" w:hAnsi="Arial" w:cs="Arial"/>
        </w:rPr>
        <w:t xml:space="preserve">When a cultivation facility licensee also holds a license to operate another cannabis establishment, the taxes imposed by </w:t>
      </w:r>
      <w:bookmarkStart w:id="22" w:name="_CROSS_REFERENCE__2255ff85_95aa_41f3_9e2"/>
      <w:r>
        <w:rPr>
          <w:rFonts w:ascii="Arial" w:eastAsia="Arial" w:hAnsi="Arial" w:cs="Arial"/>
        </w:rPr>
        <w:t>subsections 1</w:t>
      </w:r>
      <w:bookmarkEnd w:id="22"/>
      <w:r>
        <w:rPr>
          <w:rFonts w:ascii="Arial" w:eastAsia="Arial" w:hAnsi="Arial" w:cs="Arial"/>
        </w:rPr>
        <w:t xml:space="preserve"> to </w:t>
      </w:r>
      <w:bookmarkStart w:id="23" w:name="_CROSS_REFERENCE__f08523ee_d8e7_405b_af0"/>
      <w:r>
        <w:rPr>
          <w:rFonts w:ascii="Arial" w:eastAsia="Arial" w:hAnsi="Arial" w:cs="Arial"/>
        </w:rPr>
        <w:t>4</w:t>
      </w:r>
      <w:bookmarkEnd w:id="23"/>
      <w:r>
        <w:rPr>
          <w:rFonts w:ascii="Arial" w:eastAsia="Arial" w:hAnsi="Arial" w:cs="Arial"/>
        </w:rPr>
        <w:t xml:space="preserve"> apply to any transfer of cannabis from the cultivation facility to the other cannabis establishment </w:t>
      </w:r>
      <w:bookmarkStart w:id="24" w:name="_REV__b7f5717d_492d_415e_ac6f_2eef37e180"/>
      <w:bookmarkStart w:id="25" w:name="_PROCESSED_CHANGE__93b3f6ad_2b35_4127_b4"/>
      <w:bookmarkStart w:id="26" w:name="_PROCESSED_CHANGE__f7fadd77_20fa_4325_98"/>
      <w:r>
        <w:rPr>
          <w:rFonts w:ascii="Arial" w:eastAsia="Arial" w:hAnsi="Arial" w:cs="Arial"/>
          <w:u w:val="single"/>
        </w:rPr>
        <w:t>licensee</w:t>
      </w:r>
      <w:r>
        <w:rPr>
          <w:rFonts w:ascii="Arial" w:eastAsia="Arial" w:hAnsi="Arial" w:cs="Arial"/>
        </w:rPr>
        <w:t xml:space="preserve"> </w:t>
      </w:r>
      <w:bookmarkEnd w:id="24"/>
      <w:bookmarkEnd w:id="25"/>
      <w:bookmarkEnd w:id="26"/>
      <w:r>
        <w:rPr>
          <w:rFonts w:ascii="Arial" w:eastAsia="Arial" w:hAnsi="Arial" w:cs="Arial"/>
        </w:rPr>
        <w:t xml:space="preserve">or, if no such transfer is made, to any activity undertaken pursuant to </w:t>
      </w:r>
      <w:bookmarkStart w:id="27" w:name="_CROSS_REFERENCE__2fb63c92_7a64_4d0a_806"/>
      <w:r>
        <w:rPr>
          <w:rFonts w:ascii="Arial" w:eastAsia="Arial" w:hAnsi="Arial" w:cs="Arial"/>
        </w:rPr>
        <w:t>Title 28‑B, section 501, subsection 2</w:t>
      </w:r>
      <w:bookmarkEnd w:id="27"/>
      <w:r>
        <w:rPr>
          <w:rFonts w:ascii="Arial" w:eastAsia="Arial" w:hAnsi="Arial" w:cs="Arial"/>
        </w:rPr>
        <w:t xml:space="preserve"> or </w:t>
      </w:r>
      <w:bookmarkStart w:id="28" w:name="_CROSS_REFERENCE__a6eff70a_a1c7_4914_8c9"/>
      <w:r>
        <w:rPr>
          <w:rFonts w:ascii="Arial" w:eastAsia="Arial" w:hAnsi="Arial" w:cs="Arial"/>
        </w:rPr>
        <w:t>4</w:t>
      </w:r>
      <w:bookmarkEnd w:id="28"/>
      <w:r>
        <w:rPr>
          <w:rFonts w:ascii="Arial" w:eastAsia="Arial" w:hAnsi="Arial" w:cs="Arial"/>
        </w:rPr>
        <w:t xml:space="preserve"> with regard to cannabis cultivated by the cultivation facility.</w:t>
      </w:r>
      <w:bookmarkEnd w:id="21"/>
    </w:p>
    <w:p w:rsidR="00427BE2" w:rsidP="00427BE2">
      <w:pPr>
        <w:ind w:left="360" w:firstLine="360"/>
        <w:rPr>
          <w:rFonts w:ascii="Arial" w:eastAsia="Arial" w:hAnsi="Arial" w:cs="Arial"/>
        </w:rPr>
      </w:pPr>
      <w:bookmarkStart w:id="29" w:name="_BILL_SECTION_HEADER__118af95b_18e5_4986"/>
      <w:bookmarkStart w:id="30" w:name="_BILL_SECTION__3dc1df87_eb1d_4695_8277_0"/>
      <w:bookmarkEnd w:id="16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07a5bc9b_5a75_49d4"/>
      <w:r>
        <w:rPr>
          <w:rFonts w:ascii="Arial" w:eastAsia="Arial" w:hAnsi="Arial" w:cs="Arial"/>
          <w:b/>
          <w:sz w:val="24"/>
        </w:rPr>
        <w:t>3</w:t>
      </w:r>
      <w:bookmarkEnd w:id="31"/>
      <w:r>
        <w:rPr>
          <w:rFonts w:ascii="Arial" w:eastAsia="Arial" w:hAnsi="Arial" w:cs="Arial"/>
          <w:b/>
          <w:sz w:val="24"/>
        </w:rPr>
        <w:t>.  36 MRSA §4923, sub-§7</w:t>
      </w:r>
      <w:r>
        <w:rPr>
          <w:rFonts w:ascii="Arial" w:eastAsia="Arial" w:hAnsi="Arial" w:cs="Arial"/>
        </w:rPr>
        <w:t xml:space="preserve"> is enacted to read:</w:t>
      </w:r>
    </w:p>
    <w:p w:rsidR="00427BE2" w:rsidP="00427BE2">
      <w:pPr>
        <w:ind w:left="360" w:firstLine="360"/>
        <w:rPr>
          <w:rFonts w:ascii="Arial" w:eastAsia="Arial" w:hAnsi="Arial" w:cs="Arial"/>
        </w:rPr>
      </w:pPr>
      <w:bookmarkStart w:id="32" w:name="_STATUTE_NUMBER__3f09fedb_70a2_4a90_9702"/>
      <w:bookmarkStart w:id="33" w:name="_STATUTE_SS__72fda986_1777_4077_95d4_319"/>
      <w:bookmarkStart w:id="34" w:name="_REV__b07855a2_51dd_4412_a170_fbcfd4a86c"/>
      <w:bookmarkStart w:id="35" w:name="_PROCESSED_CHANGE__fbac184a_42c2_45f5_9a"/>
      <w:bookmarkStart w:id="36" w:name="_PROCESSED_CHANGE__f4c11e26_6867_4e80_bd"/>
      <w:bookmarkEnd w:id="29"/>
      <w:r>
        <w:rPr>
          <w:rFonts w:ascii="Arial" w:eastAsia="Arial" w:hAnsi="Arial" w:cs="Arial"/>
          <w:b/>
          <w:u w:val="single"/>
        </w:rPr>
        <w:t>7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2eef2cd8_78e0_4d68_90"/>
      <w:r>
        <w:rPr>
          <w:rFonts w:ascii="Arial" w:eastAsia="Arial" w:hAnsi="Arial" w:cs="Arial"/>
          <w:b/>
          <w:u w:val="single"/>
        </w:rPr>
        <w:t xml:space="preserve">Sales and transfers between licensed cultivation facilities.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62268992_09fb_4dc2_9ab"/>
      <w:bookmarkEnd w:id="37"/>
      <w:r>
        <w:rPr>
          <w:rFonts w:ascii="Arial" w:eastAsia="Arial" w:hAnsi="Arial" w:cs="Arial"/>
          <w:u w:val="single"/>
        </w:rPr>
        <w:t xml:space="preserve">Notwithstanding subsection 6,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excise tax is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>imposed on a sale of adult use cannabis to a cultivation facility or on a transfer of adult use cannabis to a cultivation facility.  This subsection does not apply to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sale or transfer by a nursery cultivation facility pursuant to Title 28-B, section 501, subsection 3, paragraph C.</w:t>
      </w:r>
    </w:p>
    <w:p w:rsidR="00427BE2" w:rsidP="00427BE2">
      <w:pPr>
        <w:ind w:left="360" w:firstLine="360"/>
        <w:rPr>
          <w:rFonts w:ascii="Arial" w:eastAsia="Arial" w:hAnsi="Arial" w:cs="Arial"/>
        </w:rPr>
      </w:pPr>
      <w:bookmarkStart w:id="39" w:name="_BILL_SECTION_HEADER__2c9ff2e2_65b0_4b9d"/>
      <w:bookmarkStart w:id="40" w:name="_BILL_SECTION__4e0786cb_a64b_4537_9831_6"/>
      <w:bookmarkEnd w:id="30"/>
      <w:bookmarkEnd w:id="33"/>
      <w:bookmarkEnd w:id="34"/>
      <w:bookmarkEnd w:id="35"/>
      <w:bookmarkEnd w:id="36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ea517795_ffcd_4865"/>
      <w:r>
        <w:rPr>
          <w:rFonts w:ascii="Arial" w:eastAsia="Arial" w:hAnsi="Arial" w:cs="Arial"/>
          <w:b/>
          <w:sz w:val="24"/>
        </w:rPr>
        <w:t>4</w:t>
      </w:r>
      <w:bookmarkEnd w:id="41"/>
      <w:r>
        <w:rPr>
          <w:rFonts w:ascii="Arial" w:eastAsia="Arial" w:hAnsi="Arial" w:cs="Arial"/>
          <w:b/>
          <w:sz w:val="24"/>
        </w:rPr>
        <w:t>.  36 MRSA §4923, sub-§8</w:t>
      </w:r>
      <w:r>
        <w:rPr>
          <w:rFonts w:ascii="Arial" w:eastAsia="Arial" w:hAnsi="Arial" w:cs="Arial"/>
        </w:rPr>
        <w:t xml:space="preserve"> is enacted to read:</w:t>
      </w:r>
    </w:p>
    <w:p w:rsidR="00000000" w:rsidP="00427BE2">
      <w:pPr>
        <w:ind w:left="360" w:firstLine="360"/>
        <w:rPr>
          <w:rFonts w:ascii="Arial" w:eastAsia="Arial" w:hAnsi="Arial" w:cs="Arial"/>
        </w:rPr>
      </w:pPr>
      <w:bookmarkStart w:id="42" w:name="_STATUTE_NUMBER__caf1a55d_5052_43e5_b096"/>
      <w:bookmarkStart w:id="43" w:name="_PROCESSED_CHANGE__a723bf3e_0108_4a07_82"/>
      <w:bookmarkStart w:id="44" w:name="_STATUTE_SS__41771274_6236_442f_8b99_330"/>
      <w:bookmarkStart w:id="45" w:name="_REV__50edf782_716f_4371_b6d3_d588ce18cf"/>
      <w:bookmarkStart w:id="46" w:name="_PROCESSED_CHANGE__89528a56_763b_4fb7_af"/>
      <w:bookmarkEnd w:id="39"/>
      <w:r>
        <w:rPr>
          <w:rFonts w:ascii="Arial" w:eastAsia="Arial" w:hAnsi="Arial" w:cs="Arial"/>
          <w:b/>
          <w:u w:val="single"/>
        </w:rPr>
        <w:t>8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7" w:name="_STATUTE_HEADNOTE__37532f35_616d_4380_93"/>
      <w:r>
        <w:rPr>
          <w:rFonts w:ascii="Arial" w:eastAsia="Arial" w:hAnsi="Arial" w:cs="Arial"/>
          <w:b/>
          <w:u w:val="single"/>
        </w:rPr>
        <w:t xml:space="preserve">Transfers to and from products manufacturing facility. </w:t>
      </w:r>
      <w:r>
        <w:rPr>
          <w:rFonts w:ascii="Arial" w:eastAsia="Arial" w:hAnsi="Arial" w:cs="Arial"/>
          <w:u w:val="single"/>
        </w:rPr>
        <w:t xml:space="preserve"> </w:t>
      </w:r>
      <w:bookmarkStart w:id="48" w:name="_STATUTE_CONTENT__67dfd032_5fe4_4a66_8c1"/>
      <w:bookmarkEnd w:id="47"/>
      <w:r>
        <w:rPr>
          <w:rFonts w:ascii="Arial" w:eastAsia="Arial" w:hAnsi="Arial" w:cs="Arial"/>
          <w:u w:val="single"/>
        </w:rPr>
        <w:t xml:space="preserve">Notwithstanding subsection 6,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excise tax is</w:t>
      </w:r>
      <w:r>
        <w:rPr>
          <w:rFonts w:ascii="Arial" w:eastAsia="Arial" w:hAnsi="Arial" w:cs="Arial"/>
          <w:u w:val="single"/>
        </w:rPr>
        <w:t xml:space="preserve"> not</w:t>
      </w:r>
      <w:r>
        <w:rPr>
          <w:rFonts w:ascii="Arial" w:eastAsia="Arial" w:hAnsi="Arial" w:cs="Arial"/>
          <w:u w:val="single"/>
        </w:rPr>
        <w:t xml:space="preserve"> imposed on the transfer of adult use cannabis to a products manufacturing facility when the adult use cannabis is returned to the original cultivation facility in the same form and weight within 30 days.</w:t>
      </w:r>
      <w:bookmarkEnd w:id="43"/>
      <w:bookmarkEnd w:id="2"/>
      <w:bookmarkEnd w:id="5"/>
      <w:bookmarkEnd w:id="6"/>
      <w:bookmarkEnd w:id="40"/>
      <w:bookmarkEnd w:id="44"/>
      <w:bookmarkEnd w:id="45"/>
      <w:bookmarkEnd w:id="46"/>
      <w:bookmarkEnd w:id="4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LR1647,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Certain Sales and Transfers of Adult Use Cannabis from Excise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27BE2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