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Portfolio Requirements for Class II Resources and Require Money Collected from Alternative Compliance Payments to Be Used for Financial Assistance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250 - L.D. 399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Portfolio Requirements for Class II Resources and Require Money Collected from Alternative Compliance Payments to Be Used for Financial Assistance</w:t>
      </w:r>
    </w:p>
    <w:p w:rsidR="00FF3B6A" w:rsidP="00FF3B6A">
      <w:pPr>
        <w:ind w:left="360"/>
        <w:rPr>
          <w:rFonts w:ascii="Arial" w:eastAsia="Arial" w:hAnsi="Arial" w:cs="Arial"/>
        </w:rPr>
      </w:pPr>
      <w:bookmarkStart w:id="0" w:name="_ENACTING_CLAUSE__4750bdb7_cc1d_4b37_92f"/>
      <w:bookmarkStart w:id="1" w:name="_PAR__1_056e1a62_f625_4abe_a447_d45ad4bc"/>
      <w:bookmarkStart w:id="2" w:name="_DOC_BODY_CONTAINER__d5039500_b044_443e_"/>
      <w:r>
        <w:rPr>
          <w:rFonts w:ascii="Arial" w:eastAsia="Arial" w:hAnsi="Arial" w:cs="Arial"/>
          <w:b/>
        </w:rPr>
        <w:t>Be it enacted by the People of the State of Maine as follows:</w:t>
      </w:r>
    </w:p>
    <w:p w:rsidR="00FF3B6A" w:rsidP="00FF3B6A">
      <w:pPr>
        <w:ind w:left="360" w:firstLine="360"/>
        <w:rPr>
          <w:rFonts w:ascii="Arial" w:eastAsia="Arial" w:hAnsi="Arial" w:cs="Arial"/>
        </w:rPr>
      </w:pPr>
      <w:bookmarkStart w:id="3" w:name="_BILL_SECTION_HEADER__7c7faa22_f4be_4a17"/>
      <w:bookmarkStart w:id="4" w:name="_BILL_SECTION__b83a6587_7764_40a5_a271_5"/>
      <w:bookmarkStart w:id="5" w:name="_INSTRUCTION__792949c2_f5da_46c3_b45e_85"/>
      <w:bookmarkStart w:id="6" w:name="_DOC_BODY_CONTENT__2bfa069e_1c81_4aa6_b0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07076d4_cfb8_4b6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35-A MRSA §3210, sub-§3, ¶A,</w:t>
      </w:r>
      <w:r>
        <w:rPr>
          <w:rFonts w:ascii="Arial" w:eastAsia="Arial" w:hAnsi="Arial" w:cs="Arial"/>
        </w:rPr>
        <w:t xml:space="preserve"> as enacted by PL 2019, c. 477, §1, is amended to read:</w:t>
      </w:r>
    </w:p>
    <w:p w:rsidR="00FF3B6A" w:rsidP="00FF3B6A">
      <w:pPr>
        <w:ind w:left="720"/>
        <w:rPr>
          <w:rFonts w:ascii="Arial" w:eastAsia="Arial" w:hAnsi="Arial" w:cs="Arial"/>
        </w:rPr>
      </w:pPr>
      <w:bookmarkStart w:id="8" w:name="_STATUTE_NUMBER__4dd0425a_44ca_494e_96af"/>
      <w:bookmarkStart w:id="9" w:name="_STATUTE_P__f555ef48_6e01_4766_bc65_8a94"/>
      <w:bookmarkEnd w:id="3"/>
      <w:r>
        <w:rPr>
          <w:rFonts w:ascii="Arial" w:eastAsia="Arial" w:hAnsi="Arial" w:cs="Arial"/>
        </w:rPr>
        <w:t>A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b3498fdb_fed3_4eb6_ab5"/>
      <w:r>
        <w:rPr>
          <w:rFonts w:ascii="Arial" w:eastAsia="Arial" w:hAnsi="Arial" w:cs="Arial"/>
        </w:rPr>
        <w:t>For the purposes of meeting the portfolio requirement under this subsection, a 300% multiplier is applied to the output of a generator fueled by municipal solid waste in conjunction with recycling that has obtained a solid waste facility license from the Department of Environmental Protection.</w:t>
      </w:r>
      <w:bookmarkEnd w:id="10"/>
    </w:p>
    <w:p w:rsidR="00FF3B6A" w:rsidP="00FF3B6A">
      <w:pPr>
        <w:ind w:left="720"/>
        <w:rPr>
          <w:rFonts w:ascii="Arial" w:eastAsia="Arial" w:hAnsi="Arial" w:cs="Arial"/>
        </w:rPr>
      </w:pPr>
      <w:bookmarkStart w:id="11" w:name="_STATUTE_CONTENT__f49af3ec_400d_45ff_bc5"/>
      <w:bookmarkStart w:id="12" w:name="_STATUTE_P__2b50933d_2982_4807_b36f_dcf5"/>
      <w:r>
        <w:rPr>
          <w:rFonts w:ascii="Arial" w:eastAsia="Arial" w:hAnsi="Arial" w:cs="Arial"/>
        </w:rPr>
        <w:t>This paragraph is repealed January 1,</w:t>
      </w:r>
      <w:bookmarkStart w:id="13" w:name="_REV__3fe7ea11_8709_4150_a3a0_53a4bacd59"/>
      <w:bookmarkStart w:id="14" w:name="_PROCESSED_CHANGE__0b638d7f_bb44_401c_8e"/>
      <w:bookmarkStart w:id="15" w:name="_PROCESSED_CHANGE__84a43874_8a30_4e58_89"/>
      <w:bookmarkStart w:id="16" w:name="_PROCESSED_CHANGE__b6967abc_fa2c_4db4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2025</w:t>
      </w:r>
      <w:bookmarkStart w:id="17" w:name="_REV__c2daf208_6941_46b9_af97_4ccb2f8f14"/>
      <w:bookmarkStart w:id="18" w:name="_PROCESSED_CHANGE__2ce20d41_9e03_464d_a6"/>
      <w:bookmarkStart w:id="19" w:name="_PROCESSED_CHANGE__46fc5a9f_6ccc_4d81_b6"/>
      <w:bookmarkStart w:id="20" w:name="_PROCESSED_CHANGE__39878d3f_ae84_4a90_9e"/>
      <w:bookmarkEnd w:id="13"/>
      <w:bookmarkEnd w:id="14"/>
      <w:bookmarkEnd w:id="15"/>
      <w:bookmarkEnd w:id="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2027</w:t>
      </w:r>
      <w:bookmarkEnd w:id="17"/>
      <w:bookmarkEnd w:id="18"/>
      <w:bookmarkEnd w:id="19"/>
      <w:bookmarkEnd w:id="20"/>
      <w:r>
        <w:rPr>
          <w:rFonts w:ascii="Arial" w:eastAsia="Arial" w:hAnsi="Arial" w:cs="Arial"/>
        </w:rPr>
        <w:t>.</w:t>
      </w:r>
      <w:bookmarkEnd w:id="11"/>
    </w:p>
    <w:p w:rsidR="00FF3B6A" w:rsidP="00FF3B6A">
      <w:pPr>
        <w:ind w:left="360" w:firstLine="360"/>
        <w:rPr>
          <w:rFonts w:ascii="Arial" w:eastAsia="Arial" w:hAnsi="Arial" w:cs="Arial"/>
        </w:rPr>
      </w:pPr>
      <w:bookmarkStart w:id="21" w:name="_BILL_SECTION_HEADER__1d35bbcf_8c24_4abf"/>
      <w:bookmarkStart w:id="22" w:name="_BILL_SECTION__d8e29830_a1a3_4f0c_8220_b"/>
      <w:bookmarkEnd w:id="4"/>
      <w:bookmarkEnd w:id="9"/>
      <w:bookmarkEnd w:id="12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f3e11814_c96f_492b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35-A MRSA §3210, sub-§9,</w:t>
      </w:r>
      <w:r>
        <w:rPr>
          <w:rFonts w:ascii="Arial" w:eastAsia="Arial" w:hAnsi="Arial" w:cs="Arial"/>
        </w:rPr>
        <w:t xml:space="preserve"> as amended by PL 2021, c. 199, §1, is further amended to read:</w:t>
      </w:r>
    </w:p>
    <w:p w:rsidR="00FF3B6A" w:rsidP="00FF3B6A">
      <w:pPr>
        <w:ind w:left="360" w:firstLine="360"/>
        <w:rPr>
          <w:rFonts w:ascii="Arial" w:eastAsia="Arial" w:hAnsi="Arial" w:cs="Arial"/>
        </w:rPr>
      </w:pPr>
      <w:bookmarkStart w:id="24" w:name="_STATUTE_NUMBER__8262db1e_1c70_46fe_a5bd"/>
      <w:bookmarkStart w:id="25" w:name="_STATUTE_SS__1b55901b_18d3_4c61_8d6d_76b"/>
      <w:bookmarkEnd w:id="21"/>
      <w:r>
        <w:rPr>
          <w:rFonts w:ascii="Arial" w:eastAsia="Arial" w:hAnsi="Arial" w:cs="Arial"/>
          <w:b/>
        </w:rPr>
        <w:t>9</w:t>
      </w:r>
      <w:bookmarkEnd w:id="24"/>
      <w:r>
        <w:rPr>
          <w:rFonts w:ascii="Arial" w:eastAsia="Arial" w:hAnsi="Arial" w:cs="Arial"/>
          <w:b/>
        </w:rPr>
        <w:t xml:space="preserve">.  </w:t>
      </w:r>
      <w:bookmarkStart w:id="26" w:name="_STATUTE_HEADNOTE__43c8bd1d_39f3_4dd1_84"/>
      <w:r>
        <w:rPr>
          <w:rFonts w:ascii="Arial" w:eastAsia="Arial" w:hAnsi="Arial" w:cs="Arial"/>
          <w:b/>
        </w:rPr>
        <w:t>Alternative compliance payment.</w:t>
      </w:r>
      <w:bookmarkEnd w:id="2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" w:name="_STATUTE_CONTENT__6bf555c2_3d54_41cb_b92"/>
      <w:r>
        <w:rPr>
          <w:rFonts w:ascii="Arial" w:eastAsia="Arial" w:hAnsi="Arial" w:cs="Arial"/>
        </w:rPr>
        <w:t xml:space="preserve">The commission shall allow competitive electricity providers to satisfy the portfolio requirements for Class I resources under </w:t>
      </w:r>
      <w:bookmarkStart w:id="28" w:name="_CROSS_REFERENCE__4499719d_ee7f_4258_8e5"/>
      <w:r>
        <w:rPr>
          <w:rFonts w:ascii="Arial" w:eastAsia="Arial" w:hAnsi="Arial" w:cs="Arial"/>
        </w:rPr>
        <w:t>subsection 3‑A</w:t>
      </w:r>
      <w:bookmarkEnd w:id="28"/>
      <w:r>
        <w:rPr>
          <w:rFonts w:ascii="Arial" w:eastAsia="Arial" w:hAnsi="Arial" w:cs="Arial"/>
        </w:rPr>
        <w:t xml:space="preserve">, Class IA resources under </w:t>
      </w:r>
      <w:bookmarkStart w:id="29" w:name="_CROSS_REFERENCE__07898c52_aeb5_4250_81b"/>
      <w:r>
        <w:rPr>
          <w:rFonts w:ascii="Arial" w:eastAsia="Arial" w:hAnsi="Arial" w:cs="Arial"/>
        </w:rPr>
        <w:t>subsection 3‑B</w:t>
      </w:r>
      <w:bookmarkStart w:id="30" w:name="_REV__585da468_958c_4fb3_91a5_11d544f086"/>
      <w:bookmarkStart w:id="31" w:name="_PROCESSED_CHANGE__30bbcd08_570f_4219_b5"/>
      <w:bookmarkStart w:id="32" w:name="_PROCESSED_CHANGE__b7e208c1_e0a7_4c87_bc"/>
      <w:bookmarkStart w:id="33" w:name="_PROCESSED_CHANGE__92b61039_7570_46b9_85"/>
      <w:bookmarkEnd w:id="2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34" w:name="_REV__45da9a70_294b_4286_a4a2_7d2bcba363"/>
      <w:bookmarkStart w:id="35" w:name="_PROCESSED_CHANGE__9db415f0_8469_4cea_91"/>
      <w:bookmarkStart w:id="36" w:name="_PROCESSED_CHANGE__c35999f7_882b_4746_95"/>
      <w:bookmarkStart w:id="37" w:name="_PROCESSED_CHANGE__83e0ebfa_994e_422f_89"/>
      <w:bookmarkEnd w:id="30"/>
      <w:bookmarkEnd w:id="31"/>
      <w:bookmarkEnd w:id="32"/>
      <w:bookmarkEnd w:id="33"/>
      <w:r>
        <w:rPr>
          <w:rFonts w:ascii="Arial" w:eastAsia="Arial" w:hAnsi="Arial" w:cs="Arial"/>
          <w:u w:val="single"/>
        </w:rPr>
        <w:t>,</w:t>
      </w:r>
      <w:bookmarkEnd w:id="34"/>
      <w:bookmarkEnd w:id="35"/>
      <w:bookmarkEnd w:id="36"/>
      <w:bookmarkEnd w:id="37"/>
      <w:r>
        <w:rPr>
          <w:rFonts w:ascii="Arial" w:eastAsia="Arial" w:hAnsi="Arial" w:cs="Arial"/>
        </w:rPr>
        <w:t xml:space="preserve"> thermal renewable energy credits under </w:t>
      </w:r>
      <w:bookmarkStart w:id="38" w:name="_CROSS_REFERENCE__38c32946_f7ed_45c1_b91"/>
      <w:r>
        <w:rPr>
          <w:rFonts w:ascii="Arial" w:eastAsia="Arial" w:hAnsi="Arial" w:cs="Arial"/>
        </w:rPr>
        <w:t>subsection 3‑C</w:t>
      </w:r>
      <w:bookmarkEnd w:id="38"/>
      <w:r>
        <w:rPr>
          <w:rFonts w:ascii="Arial" w:eastAsia="Arial" w:hAnsi="Arial" w:cs="Arial"/>
        </w:rPr>
        <w:t xml:space="preserve"> </w:t>
      </w:r>
      <w:bookmarkStart w:id="39" w:name="_REV__27a3b212_c78f_4408_9ee3_2eef067829"/>
      <w:bookmarkStart w:id="40" w:name="_PROCESSED_CHANGE__7b6aa24f_e630_4ad4_94"/>
      <w:bookmarkStart w:id="41" w:name="_PROCESSED_CHANGE__ea47c156_c895_45b9_b3"/>
      <w:bookmarkStart w:id="42" w:name="_PROCESSED_CHANGE__81da86cb_8871_4c2d_aa"/>
      <w:r>
        <w:rPr>
          <w:rFonts w:ascii="Arial" w:eastAsia="Arial" w:hAnsi="Arial" w:cs="Arial"/>
          <w:u w:val="single"/>
        </w:rPr>
        <w:t>and Class II resources under subsection 3</w:t>
      </w:r>
      <w:r>
        <w:rPr>
          <w:rFonts w:ascii="Arial" w:eastAsia="Arial" w:hAnsi="Arial" w:cs="Arial"/>
        </w:rPr>
        <w:t xml:space="preserve"> </w:t>
      </w:r>
      <w:bookmarkEnd w:id="39"/>
      <w:bookmarkEnd w:id="40"/>
      <w:bookmarkEnd w:id="41"/>
      <w:bookmarkEnd w:id="42"/>
      <w:r>
        <w:rPr>
          <w:rFonts w:ascii="Arial" w:eastAsia="Arial" w:hAnsi="Arial" w:cs="Arial"/>
        </w:rPr>
        <w:t>through an alternative compliance payment mechanism in accordance with this subsection.</w:t>
      </w:r>
      <w:bookmarkEnd w:id="27"/>
    </w:p>
    <w:p w:rsidR="00FF3B6A" w:rsidP="00FF3B6A">
      <w:pPr>
        <w:ind w:left="720"/>
        <w:rPr>
          <w:rFonts w:ascii="Arial" w:eastAsia="Arial" w:hAnsi="Arial" w:cs="Arial"/>
        </w:rPr>
      </w:pPr>
      <w:bookmarkStart w:id="43" w:name="_STATUTE_NUMBER__31ee6462_d26f_4ea3_8af9"/>
      <w:bookmarkStart w:id="44" w:name="_STATUTE_P__08a4b285_7536_4e28_a0cd_a682"/>
      <w:r>
        <w:rPr>
          <w:rFonts w:ascii="Arial" w:eastAsia="Arial" w:hAnsi="Arial" w:cs="Arial"/>
        </w:rPr>
        <w:t>A</w:t>
      </w:r>
      <w:bookmarkEnd w:id="43"/>
      <w:r>
        <w:rPr>
          <w:rFonts w:ascii="Arial" w:eastAsia="Arial" w:hAnsi="Arial" w:cs="Arial"/>
        </w:rPr>
        <w:t xml:space="preserve">.  </w:t>
      </w:r>
      <w:bookmarkStart w:id="45" w:name="_STATUTE_CONTENT__bbfd1d39_e704_4d26_9c9"/>
      <w:r>
        <w:rPr>
          <w:rFonts w:ascii="Arial" w:eastAsia="Arial" w:hAnsi="Arial" w:cs="Arial"/>
        </w:rPr>
        <w:t xml:space="preserve">The commission shall set the alternative compliance payment </w:t>
      </w:r>
      <w:bookmarkStart w:id="46" w:name="_REV__4a8864f9_efe3_4d67_be05_c57a04fffb"/>
      <w:bookmarkStart w:id="47" w:name="_PROCESSED_CHANGE__92fd6e81_18f7_4c00_88"/>
      <w:bookmarkStart w:id="48" w:name="_PROCESSED_CHANGE__5c5352eb_1f95_4b27_b2"/>
      <w:bookmarkStart w:id="49" w:name="_PROCESSED_CHANGE__b1edb3bb_625b_40b8_b5"/>
      <w:r>
        <w:rPr>
          <w:rFonts w:ascii="Arial" w:eastAsia="Arial" w:hAnsi="Arial" w:cs="Arial"/>
          <w:strike/>
        </w:rPr>
        <w:t>rate</w:t>
      </w:r>
      <w:r>
        <w:rPr>
          <w:rFonts w:ascii="Arial" w:eastAsia="Arial" w:hAnsi="Arial" w:cs="Arial"/>
        </w:rPr>
        <w:t xml:space="preserve"> </w:t>
      </w:r>
      <w:bookmarkStart w:id="50" w:name="_REV__78020cf0_90cf_4c0a_830c_18a264150b"/>
      <w:bookmarkStart w:id="51" w:name="_PROCESSED_CHANGE__31b3fc85_c467_412d_97"/>
      <w:bookmarkStart w:id="52" w:name="_PROCESSED_CHANGE__411d299a_342c_4c3e_be"/>
      <w:bookmarkStart w:id="53" w:name="_PROCESSED_CHANGE__acc033ee_dcd0_4e66_89"/>
      <w:bookmarkEnd w:id="46"/>
      <w:bookmarkEnd w:id="47"/>
      <w:bookmarkEnd w:id="48"/>
      <w:bookmarkEnd w:id="49"/>
      <w:r>
        <w:rPr>
          <w:rFonts w:ascii="Arial" w:eastAsia="Arial" w:hAnsi="Arial" w:cs="Arial"/>
          <w:u w:val="single"/>
        </w:rPr>
        <w:t>rates</w:t>
      </w:r>
      <w:r>
        <w:rPr>
          <w:rFonts w:ascii="Arial" w:eastAsia="Arial" w:hAnsi="Arial" w:cs="Arial"/>
        </w:rPr>
        <w:t xml:space="preserve"> </w:t>
      </w:r>
      <w:bookmarkEnd w:id="50"/>
      <w:bookmarkEnd w:id="51"/>
      <w:bookmarkEnd w:id="52"/>
      <w:bookmarkEnd w:id="53"/>
      <w:r>
        <w:rPr>
          <w:rFonts w:ascii="Arial" w:eastAsia="Arial" w:hAnsi="Arial" w:cs="Arial"/>
        </w:rPr>
        <w:t>by rule</w:t>
      </w:r>
      <w:bookmarkStart w:id="54" w:name="_REV__4dc818f9_28f9_4fcf_aef9_1084d304c4"/>
      <w:bookmarkStart w:id="55" w:name="_PROCESSED_CHANGE__97730c3d_d092_498e_ab"/>
      <w:bookmarkStart w:id="56" w:name="_PROCESSED_CHANGE__f5b9428c_7cbb_4dbf_8e"/>
      <w:bookmarkStart w:id="57" w:name="_PROCESSED_CHANGE__d6af15e0_44e3_4c8b_a8"/>
      <w:r>
        <w:rPr>
          <w:rFonts w:ascii="Arial" w:eastAsia="Arial" w:hAnsi="Arial" w:cs="Arial"/>
          <w:strike/>
        </w:rPr>
        <w:t>, which may not be greater than $50,</w:t>
      </w:r>
      <w:bookmarkEnd w:id="54"/>
      <w:bookmarkEnd w:id="55"/>
      <w:bookmarkEnd w:id="56"/>
      <w:bookmarkEnd w:id="57"/>
      <w:r>
        <w:rPr>
          <w:rFonts w:ascii="Arial" w:eastAsia="Arial" w:hAnsi="Arial" w:cs="Arial"/>
        </w:rPr>
        <w:t xml:space="preserve"> and shall publish the alternative compliance payment </w:t>
      </w:r>
      <w:bookmarkStart w:id="58" w:name="_REV__bc57c990_ef38_44d1_a443_4ebe3b8916"/>
      <w:bookmarkStart w:id="59" w:name="_PROCESSED_CHANGE__87aa3707_d3c2_4895_ad"/>
      <w:r>
        <w:rPr>
          <w:rFonts w:ascii="Arial" w:eastAsia="Arial" w:hAnsi="Arial" w:cs="Arial"/>
          <w:strike/>
        </w:rPr>
        <w:t>rate</w:t>
      </w:r>
      <w:r>
        <w:rPr>
          <w:rFonts w:ascii="Arial" w:eastAsia="Arial" w:hAnsi="Arial" w:cs="Arial"/>
        </w:rPr>
        <w:t xml:space="preserve"> </w:t>
      </w:r>
      <w:bookmarkStart w:id="60" w:name="_REV__241f128b_c44b_4885_a892_1dd1f3e251"/>
      <w:bookmarkStart w:id="61" w:name="_PROCESSED_CHANGE__ca93fe53_f2ca_472c_bc"/>
      <w:bookmarkEnd w:id="58"/>
      <w:bookmarkEnd w:id="59"/>
      <w:r>
        <w:rPr>
          <w:rFonts w:ascii="Arial" w:eastAsia="Arial" w:hAnsi="Arial" w:cs="Arial"/>
          <w:u w:val="single"/>
        </w:rPr>
        <w:t>rates</w:t>
      </w:r>
      <w:r>
        <w:rPr>
          <w:rFonts w:ascii="Arial" w:eastAsia="Arial" w:hAnsi="Arial" w:cs="Arial"/>
        </w:rPr>
        <w:t xml:space="preserve"> </w:t>
      </w:r>
      <w:bookmarkEnd w:id="60"/>
      <w:bookmarkEnd w:id="61"/>
      <w:r>
        <w:rPr>
          <w:rFonts w:ascii="Arial" w:eastAsia="Arial" w:hAnsi="Arial" w:cs="Arial"/>
        </w:rPr>
        <w:t>by January 31st of each year. In setting the</w:t>
      </w:r>
      <w:bookmarkStart w:id="62" w:name="_REV__21cc4d62_5946_42c5_8c6c_e8fbf1d00f"/>
      <w:bookmarkStart w:id="63" w:name="_PROCESSED_CHANGE__a8a7b76c_88c8_4b00_a9"/>
      <w:bookmarkStart w:id="64" w:name="_PROCESSED_CHANGE__ab470d96_69bf_4dc8_89"/>
      <w:bookmarkStart w:id="65" w:name="_PROCESSED_CHANGE__1fc32ef2_cdc3_4f50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</w:t>
      </w:r>
      <w:bookmarkStart w:id="66" w:name="_REV__47cebd0b_ae7b_4131_b178_8e4a4c62b0"/>
      <w:bookmarkStart w:id="67" w:name="_PROCESSED_CHANGE__50c7cffc_52da_4159_a1"/>
      <w:bookmarkStart w:id="68" w:name="_PROCESSED_CHANGE__c905be73_f0e7_48c3_ae"/>
      <w:bookmarkStart w:id="69" w:name="_PROCESSED_CHANGE__c82be404_ad13_4ede_84"/>
      <w:bookmarkEnd w:id="62"/>
      <w:bookmarkEnd w:id="63"/>
      <w:bookmarkEnd w:id="64"/>
      <w:bookmarkEnd w:id="6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rates</w:t>
      </w:r>
      <w:bookmarkEnd w:id="66"/>
      <w:bookmarkEnd w:id="67"/>
      <w:bookmarkEnd w:id="68"/>
      <w:bookmarkEnd w:id="69"/>
      <w:r>
        <w:rPr>
          <w:rFonts w:ascii="Arial" w:eastAsia="Arial" w:hAnsi="Arial" w:cs="Arial"/>
        </w:rPr>
        <w:t xml:space="preserve">, the commission shall take into account prevailing market prices, standard-offer service prices for electricity, reliance on alternative compliance payments to meet the requirements of </w:t>
      </w:r>
      <w:bookmarkStart w:id="70" w:name="_CROSS_REFERENCE__4de62f5f_be39_45dd_821"/>
      <w:r>
        <w:rPr>
          <w:rFonts w:ascii="Arial" w:eastAsia="Arial" w:hAnsi="Arial" w:cs="Arial"/>
        </w:rPr>
        <w:t xml:space="preserve">subsections </w:t>
      </w:r>
      <w:bookmarkStart w:id="71" w:name="_REV__2c5e480d_63e6_4565_b888_e09b0b7c33"/>
      <w:bookmarkStart w:id="72" w:name="_PROCESSED_CHANGE__d9b5ecbe_6d57_40f1_85"/>
      <w:bookmarkStart w:id="73" w:name="_PROCESSED_CHANGE__d801c5ad_cbd8_46e4_ba"/>
      <w:bookmarkStart w:id="74" w:name="_PROCESSED_CHANGE__2214172a_ef4f_4246_9a"/>
      <w:r>
        <w:rPr>
          <w:rFonts w:ascii="Arial" w:eastAsia="Arial" w:hAnsi="Arial" w:cs="Arial"/>
          <w:u w:val="single"/>
        </w:rPr>
        <w:t>3,</w:t>
      </w:r>
      <w:r>
        <w:rPr>
          <w:rFonts w:ascii="Arial" w:eastAsia="Arial" w:hAnsi="Arial" w:cs="Arial"/>
        </w:rPr>
        <w:t xml:space="preserve"> </w:t>
      </w:r>
      <w:bookmarkEnd w:id="71"/>
      <w:bookmarkEnd w:id="72"/>
      <w:bookmarkEnd w:id="73"/>
      <w:bookmarkEnd w:id="74"/>
      <w:r>
        <w:rPr>
          <w:rFonts w:ascii="Arial" w:eastAsia="Arial" w:hAnsi="Arial" w:cs="Arial"/>
        </w:rPr>
        <w:t>3‑A</w:t>
      </w:r>
      <w:bookmarkEnd w:id="70"/>
      <w:r>
        <w:rPr>
          <w:rFonts w:ascii="Arial" w:eastAsia="Arial" w:hAnsi="Arial" w:cs="Arial"/>
        </w:rPr>
        <w:t xml:space="preserve">, </w:t>
      </w:r>
      <w:bookmarkStart w:id="75" w:name="_CROSS_REFERENCE__403d34ee_7340_4228_8a5"/>
      <w:r>
        <w:rPr>
          <w:rFonts w:ascii="Arial" w:eastAsia="Arial" w:hAnsi="Arial" w:cs="Arial"/>
        </w:rPr>
        <w:t>3‑B</w:t>
      </w:r>
      <w:bookmarkEnd w:id="75"/>
      <w:r>
        <w:rPr>
          <w:rFonts w:ascii="Arial" w:eastAsia="Arial" w:hAnsi="Arial" w:cs="Arial"/>
        </w:rPr>
        <w:t xml:space="preserve"> and </w:t>
      </w:r>
      <w:bookmarkStart w:id="76" w:name="_CROSS_REFERENCE__4eb2a788_774e_4900_938"/>
      <w:r>
        <w:rPr>
          <w:rFonts w:ascii="Arial" w:eastAsia="Arial" w:hAnsi="Arial" w:cs="Arial"/>
        </w:rPr>
        <w:t>3‑C</w:t>
      </w:r>
      <w:bookmarkEnd w:id="76"/>
      <w:r>
        <w:rPr>
          <w:rFonts w:ascii="Arial" w:eastAsia="Arial" w:hAnsi="Arial" w:cs="Arial"/>
        </w:rPr>
        <w:t xml:space="preserve"> and investment in Class I</w:t>
      </w:r>
      <w:bookmarkStart w:id="77" w:name="_REV__a581dfe6_1ca1_4346_9ec8_9a3986e6ed"/>
      <w:bookmarkStart w:id="78" w:name="_PROCESSED_CHANGE__e16a2589_61b8_4433_ad"/>
      <w:bookmarkStart w:id="79" w:name="_PROCESSED_CHANGE__dcf50f39_da4b_4d3c_9c"/>
      <w:bookmarkStart w:id="80" w:name="_PROCESSED_CHANGE__ddc89c36_ce75_46ab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81" w:name="_REV__722bed8c_2a2a_4fa8_b916_e4b2742bc4"/>
      <w:bookmarkStart w:id="82" w:name="_PROCESSED_CHANGE__15175b1a_bdf7_43af_bc"/>
      <w:bookmarkStart w:id="83" w:name="_PROCESSED_CHANGE__c8aa6de8_17f6_4aa4_8e"/>
      <w:bookmarkStart w:id="84" w:name="_PROCESSED_CHANGE__16b7fe41_ddd1_4164_9c"/>
      <w:bookmarkEnd w:id="77"/>
      <w:bookmarkEnd w:id="78"/>
      <w:bookmarkEnd w:id="79"/>
      <w:bookmarkEnd w:id="80"/>
      <w:r>
        <w:rPr>
          <w:rFonts w:ascii="Arial" w:eastAsia="Arial" w:hAnsi="Arial" w:cs="Arial"/>
          <w:u w:val="single"/>
        </w:rPr>
        <w:t>,</w:t>
      </w:r>
      <w:bookmarkEnd w:id="81"/>
      <w:bookmarkEnd w:id="82"/>
      <w:bookmarkEnd w:id="83"/>
      <w:bookmarkEnd w:id="84"/>
      <w:r>
        <w:rPr>
          <w:rFonts w:ascii="Arial" w:eastAsia="Arial" w:hAnsi="Arial" w:cs="Arial"/>
        </w:rPr>
        <w:t xml:space="preserve"> Class IA </w:t>
      </w:r>
      <w:bookmarkStart w:id="85" w:name="_REV__26d873f0_7c83_46d0_a9ff_272a481695"/>
      <w:bookmarkStart w:id="86" w:name="_PROCESSED_CHANGE__76b92f1d_a128_46b7_82"/>
      <w:bookmarkStart w:id="87" w:name="_PROCESSED_CHANGE__bb47e6e5_2c4d_447d_a9"/>
      <w:bookmarkStart w:id="88" w:name="_PROCESSED_CHANGE__5474bc05_9ede_4a48_b1"/>
      <w:r>
        <w:rPr>
          <w:rFonts w:ascii="Arial" w:eastAsia="Arial" w:hAnsi="Arial" w:cs="Arial"/>
          <w:u w:val="single"/>
        </w:rPr>
        <w:t>and Class II</w:t>
      </w:r>
      <w:r>
        <w:rPr>
          <w:rFonts w:ascii="Arial" w:eastAsia="Arial" w:hAnsi="Arial" w:cs="Arial"/>
        </w:rPr>
        <w:t xml:space="preserve"> </w:t>
      </w:r>
      <w:bookmarkEnd w:id="85"/>
      <w:bookmarkEnd w:id="86"/>
      <w:bookmarkEnd w:id="87"/>
      <w:bookmarkEnd w:id="88"/>
      <w:r>
        <w:rPr>
          <w:rFonts w:ascii="Arial" w:eastAsia="Arial" w:hAnsi="Arial" w:cs="Arial"/>
        </w:rPr>
        <w:t>resources and thermal renewable energy credits in the State during the previous calendar year.</w:t>
      </w:r>
      <w:bookmarkEnd w:id="45"/>
    </w:p>
    <w:p w:rsidR="00FF3B6A" w:rsidP="00FF3B6A">
      <w:pPr>
        <w:ind w:left="1080"/>
        <w:rPr>
          <w:rFonts w:ascii="Arial" w:eastAsia="Arial" w:hAnsi="Arial" w:cs="Arial"/>
        </w:rPr>
      </w:pPr>
      <w:bookmarkStart w:id="89" w:name="_STATUTE_SP__5ab1e49a_7d17_4579_be25_335"/>
      <w:bookmarkStart w:id="90" w:name="_REV__70c2d5b1_8b80_4806_8cb5_90ccdcec77"/>
      <w:bookmarkStart w:id="91" w:name="_PROCESSED_CHANGE__9cfbfdd2_8045_4e52_a5"/>
      <w:bookmarkStart w:id="92" w:name="_PROCESSED_CHANGE__bed7d189_c70d_46c4_9f"/>
      <w:bookmarkStart w:id="93" w:name="_PROCESSED_CHANGE__9a73eae8_5b98_470c_82"/>
      <w:r>
        <w:rPr>
          <w:rFonts w:ascii="Arial" w:eastAsia="Arial" w:hAnsi="Arial" w:cs="Arial"/>
          <w:u w:val="single"/>
        </w:rPr>
        <w:t>(</w:t>
      </w:r>
      <w:bookmarkStart w:id="94" w:name="_STATUTE_NUMBER__4699bd3c_cdc5_43c0_928a"/>
      <w:r>
        <w:rPr>
          <w:rFonts w:ascii="Arial" w:eastAsia="Arial" w:hAnsi="Arial" w:cs="Arial"/>
          <w:u w:val="single"/>
        </w:rPr>
        <w:t>1</w:t>
      </w:r>
      <w:bookmarkEnd w:id="94"/>
      <w:r>
        <w:rPr>
          <w:rFonts w:ascii="Arial" w:eastAsia="Arial" w:hAnsi="Arial" w:cs="Arial"/>
          <w:u w:val="single"/>
        </w:rPr>
        <w:t xml:space="preserve">)  </w:t>
      </w:r>
      <w:bookmarkStart w:id="95" w:name="_STATUTE_CONTENT__7687752c_a6de_4538_834"/>
      <w:r>
        <w:rPr>
          <w:rFonts w:ascii="Arial" w:eastAsia="Arial" w:hAnsi="Arial" w:cs="Arial"/>
          <w:u w:val="single"/>
        </w:rPr>
        <w:t>The alternative compliance payment rate for the requirements under subsections 3-A, 3‑B and 3‑C may not be greater than $50.</w:t>
      </w:r>
    </w:p>
    <w:p w:rsidR="00FF3B6A" w:rsidP="00FF3B6A">
      <w:pPr>
        <w:ind w:left="1080"/>
        <w:rPr>
          <w:rFonts w:ascii="Arial" w:eastAsia="Arial" w:hAnsi="Arial" w:cs="Arial"/>
        </w:rPr>
      </w:pPr>
      <w:bookmarkStart w:id="96" w:name="_STATUTE_SP__449d3a62_c8ee_4b5f_8e74_024"/>
      <w:bookmarkStart w:id="97" w:name="_REV__21618286_8216_42ee_a9fc_2bb0ee9908"/>
      <w:bookmarkEnd w:id="89"/>
      <w:bookmarkEnd w:id="90"/>
      <w:bookmarkEnd w:id="95"/>
      <w:r>
        <w:rPr>
          <w:rFonts w:ascii="Arial" w:eastAsia="Arial" w:hAnsi="Arial" w:cs="Arial"/>
          <w:u w:val="single"/>
        </w:rPr>
        <w:t>(</w:t>
      </w:r>
      <w:bookmarkStart w:id="98" w:name="_STATUTE_NUMBER__7d431c3e_bd66_496d_be55"/>
      <w:r>
        <w:rPr>
          <w:rFonts w:ascii="Arial" w:eastAsia="Arial" w:hAnsi="Arial" w:cs="Arial"/>
          <w:u w:val="single"/>
        </w:rPr>
        <w:t>2</w:t>
      </w:r>
      <w:bookmarkEnd w:id="98"/>
      <w:r>
        <w:rPr>
          <w:rFonts w:ascii="Arial" w:eastAsia="Arial" w:hAnsi="Arial" w:cs="Arial"/>
          <w:u w:val="single"/>
        </w:rPr>
        <w:t xml:space="preserve">)  </w:t>
      </w:r>
      <w:bookmarkStart w:id="99" w:name="_STATUTE_CONTENT__f7a9e71f_0551_4249_84f"/>
      <w:r>
        <w:rPr>
          <w:rFonts w:ascii="Arial" w:eastAsia="Arial" w:hAnsi="Arial" w:cs="Arial"/>
          <w:u w:val="single"/>
        </w:rPr>
        <w:t>The alternative compliance payment rate for the requirement under subsection 3 may not be greater than $10.</w:t>
      </w:r>
    </w:p>
    <w:p w:rsidR="00FF3B6A" w:rsidP="00FF3B6A">
      <w:pPr>
        <w:ind w:left="720"/>
        <w:rPr>
          <w:rFonts w:ascii="Arial" w:eastAsia="Arial" w:hAnsi="Arial" w:cs="Arial"/>
        </w:rPr>
      </w:pPr>
      <w:bookmarkStart w:id="100" w:name="_STATUTE_NUMBER__8fa32e68_bc0d_4311_9dbc"/>
      <w:bookmarkStart w:id="101" w:name="_STATUTE_P__7f025225_cf13_4028_b30e_4abe"/>
      <w:bookmarkEnd w:id="44"/>
      <w:bookmarkEnd w:id="91"/>
      <w:bookmarkEnd w:id="92"/>
      <w:bookmarkEnd w:id="93"/>
      <w:bookmarkEnd w:id="96"/>
      <w:bookmarkEnd w:id="97"/>
      <w:bookmarkEnd w:id="99"/>
      <w:r>
        <w:rPr>
          <w:rFonts w:ascii="Arial" w:eastAsia="Arial" w:hAnsi="Arial" w:cs="Arial"/>
        </w:rPr>
        <w:t>B</w:t>
      </w:r>
      <w:bookmarkEnd w:id="100"/>
      <w:r>
        <w:rPr>
          <w:rFonts w:ascii="Arial" w:eastAsia="Arial" w:hAnsi="Arial" w:cs="Arial"/>
        </w:rPr>
        <w:t xml:space="preserve">.  </w:t>
      </w:r>
      <w:bookmarkStart w:id="102" w:name="_STATUTE_CONTENT__518f35d7_3602_43af_bc1"/>
      <w:r>
        <w:rPr>
          <w:rFonts w:ascii="Arial" w:eastAsia="Arial" w:hAnsi="Arial" w:cs="Arial"/>
        </w:rPr>
        <w:t xml:space="preserve">The commission shall collect alternative compliance payments to meet the requirements of </w:t>
      </w:r>
      <w:bookmarkStart w:id="103" w:name="_CROSS_REFERENCE__8b6ad4a4_53fc_43d0_af6"/>
      <w:r>
        <w:rPr>
          <w:rFonts w:ascii="Arial" w:eastAsia="Arial" w:hAnsi="Arial" w:cs="Arial"/>
        </w:rPr>
        <w:t xml:space="preserve">subsections </w:t>
      </w:r>
      <w:bookmarkStart w:id="104" w:name="_REV__696ff0eb_0c48_4854_80ae_a33d5ca3ee"/>
      <w:bookmarkStart w:id="105" w:name="_PROCESSED_CHANGE__2dfcaaf0_12cb_4400_b0"/>
      <w:bookmarkStart w:id="106" w:name="_PROCESSED_CHANGE__cfb217b2_d7b8_41c3_bf"/>
      <w:r>
        <w:rPr>
          <w:rFonts w:ascii="Arial" w:eastAsia="Arial" w:hAnsi="Arial" w:cs="Arial"/>
          <w:u w:val="single"/>
        </w:rPr>
        <w:t>3,</w:t>
      </w:r>
      <w:r>
        <w:rPr>
          <w:rFonts w:ascii="Arial" w:eastAsia="Arial" w:hAnsi="Arial" w:cs="Arial"/>
        </w:rPr>
        <w:t xml:space="preserve"> </w:t>
      </w:r>
      <w:bookmarkEnd w:id="104"/>
      <w:bookmarkEnd w:id="105"/>
      <w:bookmarkEnd w:id="106"/>
      <w:r>
        <w:rPr>
          <w:rFonts w:ascii="Arial" w:eastAsia="Arial" w:hAnsi="Arial" w:cs="Arial"/>
        </w:rPr>
        <w:t>3‑A</w:t>
      </w:r>
      <w:bookmarkEnd w:id="103"/>
      <w:r>
        <w:rPr>
          <w:rFonts w:ascii="Arial" w:eastAsia="Arial" w:hAnsi="Arial" w:cs="Arial"/>
        </w:rPr>
        <w:t xml:space="preserve"> and </w:t>
      </w:r>
      <w:bookmarkStart w:id="107" w:name="_CROSS_REFERENCE__d8020fdc_d159_4c66_b1d"/>
      <w:r>
        <w:rPr>
          <w:rFonts w:ascii="Arial" w:eastAsia="Arial" w:hAnsi="Arial" w:cs="Arial"/>
        </w:rPr>
        <w:t>3‑B</w:t>
      </w:r>
      <w:bookmarkEnd w:id="107"/>
      <w:r>
        <w:rPr>
          <w:rFonts w:ascii="Arial" w:eastAsia="Arial" w:hAnsi="Arial" w:cs="Arial"/>
        </w:rPr>
        <w:t xml:space="preserve"> made by competitive electricity providers and shall </w:t>
      </w:r>
      <w:bookmarkStart w:id="108" w:name="_REV__2c49a941_c5ef_4cb2_bdfe_7dffe2ebe7"/>
      <w:bookmarkStart w:id="109" w:name="_PROCESSED_CHANGE__bd830ea9_7584_4e7d_a2"/>
      <w:bookmarkStart w:id="110" w:name="_PROCESSED_CHANGE__6a481083_73bc_4ae2_92"/>
      <w:bookmarkStart w:id="111" w:name="_PROCESSED_CHANGE__03ea8c65_bec4_4740_98"/>
      <w:r>
        <w:rPr>
          <w:rFonts w:ascii="Arial" w:eastAsia="Arial" w:hAnsi="Arial" w:cs="Arial"/>
          <w:strike/>
        </w:rPr>
        <w:t>deposit</w:t>
      </w:r>
      <w:r>
        <w:rPr>
          <w:rFonts w:ascii="Arial" w:eastAsia="Arial" w:hAnsi="Arial" w:cs="Arial"/>
        </w:rPr>
        <w:t xml:space="preserve"> </w:t>
      </w:r>
      <w:bookmarkStart w:id="112" w:name="_REV__d7442040_76ee_4a60_9b4b_8b3838d236"/>
      <w:bookmarkStart w:id="113" w:name="_PROCESSED_CHANGE__d80fd20d_09fc_4f08_8a"/>
      <w:bookmarkStart w:id="114" w:name="_PROCESSED_CHANGE__d24545d0_284f_4769_a5"/>
      <w:bookmarkStart w:id="115" w:name="_PROCESSED_CHANGE__da45d8dc_5566_4f42_8c"/>
      <w:bookmarkEnd w:id="108"/>
      <w:bookmarkEnd w:id="109"/>
      <w:bookmarkEnd w:id="110"/>
      <w:bookmarkEnd w:id="111"/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</w:rPr>
        <w:t xml:space="preserve"> </w:t>
      </w:r>
      <w:bookmarkEnd w:id="112"/>
      <w:bookmarkEnd w:id="113"/>
      <w:bookmarkEnd w:id="114"/>
      <w:bookmarkEnd w:id="115"/>
      <w:r>
        <w:rPr>
          <w:rFonts w:ascii="Arial" w:eastAsia="Arial" w:hAnsi="Arial" w:cs="Arial"/>
        </w:rPr>
        <w:t>all funds collected under this paragraph</w:t>
      </w:r>
      <w:bookmarkStart w:id="116" w:name="_REV__beeb304e_bbe4_4db1_ad3b_e2cb5712ab"/>
      <w:bookmarkStart w:id="117" w:name="_PROCESSED_CHANGE__0145d945_c811_4e4c_a4"/>
      <w:bookmarkStart w:id="118" w:name="_PROCESSED_CHANGE__82c19dee_3b13_4b34_b4"/>
      <w:bookmarkStart w:id="119" w:name="_PROCESSED_CHANGE__104e074f_a0c4_4dc1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in the Energy Efficiency and Renewable Resource Fund established under </w:t>
      </w:r>
      <w:bookmarkStart w:id="120" w:name="_CROSS_REFERENCE__c8f36573_bafe_436d_9e3"/>
      <w:r>
        <w:rPr>
          <w:rFonts w:ascii="Arial" w:eastAsia="Arial" w:hAnsi="Arial" w:cs="Arial"/>
          <w:strike/>
        </w:rPr>
        <w:t>section 10121, subsection 2</w:t>
      </w:r>
      <w:bookmarkEnd w:id="120"/>
      <w:r>
        <w:rPr>
          <w:rFonts w:ascii="Arial" w:eastAsia="Arial" w:hAnsi="Arial" w:cs="Arial"/>
          <w:strike/>
        </w:rPr>
        <w:t xml:space="preserve"> to be used to fund research, development and demonstration projects relating to renewable energy technologies and to fund rebates for cost-effective renewable energy technologies</w:t>
      </w:r>
      <w:bookmarkStart w:id="121" w:name="_REV__ee84a574_de55_4e84_8de7_fae7607ea1"/>
      <w:bookmarkStart w:id="122" w:name="_PROCESSED_CHANGE__40c275c8_c052_429f_83"/>
      <w:bookmarkStart w:id="123" w:name="_PROCESSED_CHANGE__f51995f5_5f71_44ca_97"/>
      <w:bookmarkStart w:id="124" w:name="_PROCESSED_CHANGE__dc6d9833_e877_4d64_b0"/>
      <w:bookmarkEnd w:id="116"/>
      <w:bookmarkEnd w:id="117"/>
      <w:bookmarkEnd w:id="118"/>
      <w:bookmarkEnd w:id="1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provide financial assistance for low-income households in accordance with section 3214, subsection 2</w:t>
      </w:r>
      <w:bookmarkEnd w:id="121"/>
      <w:bookmarkEnd w:id="122"/>
      <w:bookmarkEnd w:id="123"/>
      <w:bookmarkEnd w:id="124"/>
      <w:r>
        <w:rPr>
          <w:rFonts w:ascii="Arial" w:eastAsia="Arial" w:hAnsi="Arial" w:cs="Arial"/>
        </w:rPr>
        <w:t>.</w:t>
      </w:r>
      <w:bookmarkEnd w:id="102"/>
    </w:p>
    <w:p w:rsidR="00FF3B6A" w:rsidP="00FF3B6A">
      <w:pPr>
        <w:ind w:left="720"/>
        <w:rPr>
          <w:rFonts w:ascii="Arial" w:eastAsia="Arial" w:hAnsi="Arial" w:cs="Arial"/>
        </w:rPr>
      </w:pPr>
      <w:bookmarkStart w:id="125" w:name="_STATUTE_NUMBER__9d0a2478_8101_4780_9d8e"/>
      <w:bookmarkStart w:id="126" w:name="_STATUTE_P__41476866_7499_46d1_98a9_f504"/>
      <w:bookmarkEnd w:id="101"/>
      <w:r>
        <w:rPr>
          <w:rFonts w:ascii="Arial" w:eastAsia="Arial" w:hAnsi="Arial" w:cs="Arial"/>
        </w:rPr>
        <w:t>C</w:t>
      </w:r>
      <w:bookmarkEnd w:id="125"/>
      <w:r>
        <w:rPr>
          <w:rFonts w:ascii="Arial" w:eastAsia="Arial" w:hAnsi="Arial" w:cs="Arial"/>
        </w:rPr>
        <w:t xml:space="preserve">.  </w:t>
      </w:r>
      <w:bookmarkStart w:id="127" w:name="_STATUTE_CONTENT__66eb9b36_04cd_444d_95b"/>
      <w:r>
        <w:rPr>
          <w:rFonts w:ascii="Arial" w:eastAsia="Arial" w:hAnsi="Arial" w:cs="Arial"/>
        </w:rPr>
        <w:t xml:space="preserve">The commission shall collect alternative compliance payments to meet the requirements of </w:t>
      </w:r>
      <w:bookmarkStart w:id="128" w:name="_CROSS_REFERENCE__e2eae4d8_02b5_49e7_b84"/>
      <w:r>
        <w:rPr>
          <w:rFonts w:ascii="Arial" w:eastAsia="Arial" w:hAnsi="Arial" w:cs="Arial"/>
        </w:rPr>
        <w:t>subsection 3‑C</w:t>
      </w:r>
      <w:bookmarkEnd w:id="128"/>
      <w:r>
        <w:rPr>
          <w:rFonts w:ascii="Arial" w:eastAsia="Arial" w:hAnsi="Arial" w:cs="Arial"/>
        </w:rPr>
        <w:t xml:space="preserve"> made by competitive electricity providers and shall deposit all funds collected under this paragraph in the Thermal Energy Investment Fund established under </w:t>
      </w:r>
      <w:bookmarkStart w:id="129" w:name="_CROSS_REFERENCE__26a0d9cd_9c61_4573_8c1"/>
      <w:r>
        <w:rPr>
          <w:rFonts w:ascii="Arial" w:eastAsia="Arial" w:hAnsi="Arial" w:cs="Arial"/>
        </w:rPr>
        <w:t>section 10128, subsection 2</w:t>
      </w:r>
      <w:bookmarkEnd w:id="129"/>
      <w:r>
        <w:rPr>
          <w:rFonts w:ascii="Arial" w:eastAsia="Arial" w:hAnsi="Arial" w:cs="Arial"/>
        </w:rPr>
        <w:t xml:space="preserve"> to be used to fund incentives and low-interest or no-interest loans to businesses, municipalities, educational institutions and nonprofit entities in the State for the installation of new thermal energy-derived projects.</w:t>
      </w:r>
      <w:bookmarkEnd w:id="127"/>
    </w:p>
    <w:p w:rsidR="00FF3B6A" w:rsidP="00FF3B6A">
      <w:pPr>
        <w:ind w:left="360"/>
        <w:rPr>
          <w:rFonts w:ascii="Arial" w:eastAsia="Arial" w:hAnsi="Arial" w:cs="Arial"/>
        </w:rPr>
      </w:pPr>
      <w:bookmarkStart w:id="130" w:name="_STATUTE_P__391c3edc_c022_401f_bf63_3d8b"/>
      <w:bookmarkStart w:id="131" w:name="_STATUTE_CONTENT__c218982f_65ef_48d7_8c2"/>
      <w:bookmarkEnd w:id="126"/>
      <w:r>
        <w:rPr>
          <w:rFonts w:ascii="Arial" w:eastAsia="Arial" w:hAnsi="Arial" w:cs="Arial"/>
        </w:rPr>
        <w:t xml:space="preserve">The commission shall adopt rules to implement this subsection. Rules adopted </w:t>
      </w:r>
      <w:bookmarkStart w:id="132" w:name="_REV__6d085cac_03ca_4abb_bdc7_37acee8106"/>
      <w:bookmarkStart w:id="133" w:name="_PROCESSED_CHANGE__39b77511_2dc7_405f_a4"/>
      <w:bookmarkStart w:id="134" w:name="_PROCESSED_CHANGE__996678e5_b8ea_477a_90"/>
      <w:bookmarkStart w:id="135" w:name="_PROCESSED_CHANGE__7e6b55d6_45a2_4faf_92"/>
      <w:r>
        <w:rPr>
          <w:rFonts w:ascii="Arial" w:eastAsia="Arial" w:hAnsi="Arial" w:cs="Arial"/>
          <w:strike/>
        </w:rPr>
        <w:t>under this subsection</w:t>
      </w:r>
      <w:bookmarkEnd w:id="132"/>
      <w:bookmarkEnd w:id="133"/>
      <w:bookmarkEnd w:id="134"/>
      <w:bookmarkEnd w:id="135"/>
      <w:r>
        <w:rPr>
          <w:rFonts w:ascii="Arial" w:eastAsia="Arial" w:hAnsi="Arial" w:cs="Arial"/>
        </w:rPr>
        <w:t xml:space="preserve"> </w:t>
      </w:r>
      <w:bookmarkStart w:id="136" w:name="_REV__e5428a6a_cffd_43e5_a31c_384eeb8eca"/>
      <w:bookmarkStart w:id="137" w:name="_PROCESSED_CHANGE__9a4d58fe_398f_41ba_96"/>
      <w:bookmarkStart w:id="138" w:name="_PROCESSED_CHANGE__93454918_8dbb_42fd_96"/>
      <w:bookmarkStart w:id="139" w:name="_PROCESSED_CHANGE__3318fc93_e0b1_4105_b5"/>
      <w:r>
        <w:rPr>
          <w:rFonts w:ascii="Arial" w:eastAsia="Arial" w:hAnsi="Arial" w:cs="Arial"/>
          <w:u w:val="single"/>
        </w:rPr>
        <w:t xml:space="preserve">to establish the alternative compliance payment rates governed by </w:t>
      </w:r>
      <w:r>
        <w:rPr>
          <w:rFonts w:ascii="Arial" w:eastAsia="Arial" w:hAnsi="Arial" w:cs="Arial"/>
          <w:u w:val="single"/>
        </w:rPr>
        <w:t xml:space="preserve">paragraph A, </w:t>
      </w:r>
      <w:bookmarkStart w:id="140" w:name="_ENGROSSING_REV__109e5146_67bf_49e6_94f4"/>
      <w:bookmarkStart w:id="141" w:name="_REV__d950e34a_6eaa_478a_b0e7_060cae89cd"/>
      <w:bookmarkEnd w:id="136"/>
      <w:bookmarkEnd w:id="137"/>
      <w:bookmarkEnd w:id="138"/>
      <w:bookmarkEnd w:id="139"/>
      <w:bookmarkEnd w:id="140"/>
      <w:r>
        <w:rPr>
          <w:rFonts w:ascii="Arial" w:eastAsia="Arial" w:hAnsi="Arial" w:cs="Arial"/>
          <w:u w:val="single"/>
        </w:rPr>
        <w:t>subparagraphs (1) and (2)</w:t>
      </w:r>
      <w:bookmarkStart w:id="142" w:name="_ENGROSSING_REV__5dca89fd_b9a4_45ae_9efe"/>
      <w:bookmarkStart w:id="143" w:name="_ENGROSSING_REV__e59295df_38d5_4093_b32f"/>
      <w:bookmarkStart w:id="144" w:name="_ENGROSSING_REV__23ccfa8d_a70a_4cf1_9611"/>
      <w:bookmarkEnd w:id="141"/>
      <w:bookmarkEnd w:id="142"/>
      <w:bookmarkEnd w:id="143"/>
      <w:bookmarkEnd w:id="144"/>
      <w:r>
        <w:rPr>
          <w:rFonts w:ascii="Arial" w:eastAsia="Arial" w:hAnsi="Arial" w:cs="Arial"/>
        </w:rPr>
        <w:t xml:space="preserve"> routine technical rules as defined in </w:t>
      </w:r>
      <w:bookmarkStart w:id="145" w:name="_CROSS_REFERENCE__14e0c5b6_71a4_4932_a14"/>
      <w:r>
        <w:rPr>
          <w:rFonts w:ascii="Arial" w:eastAsia="Arial" w:hAnsi="Arial" w:cs="Arial"/>
        </w:rPr>
        <w:t>Title 5, chapter 375, subchapter 2‑A</w:t>
      </w:r>
      <w:bookmarkEnd w:id="145"/>
      <w:r>
        <w:rPr>
          <w:rFonts w:ascii="Arial" w:eastAsia="Arial" w:hAnsi="Arial" w:cs="Arial"/>
        </w:rPr>
        <w:t>.</w:t>
      </w:r>
      <w:bookmarkStart w:id="146" w:name="_ENGROSSING_REV__92b7ec5a_e827_4a35_bd82"/>
      <w:bookmarkStart w:id="147" w:name="_ENGROSSING_REV__e55476b0_04e5_4749_ad95"/>
      <w:bookmarkStart w:id="148" w:name="_ENGROSSING_REV__3c87a702_862c_4e3d_9121"/>
      <w:bookmarkStart w:id="149" w:name="_BILL_SECTION_HEADER__5f63eac5_6c60_410f"/>
      <w:bookmarkStart w:id="150" w:name="_BILL_SECTION__c296ff13_01e3_4f2a_b303_b"/>
      <w:bookmarkEnd w:id="22"/>
      <w:bookmarkEnd w:id="25"/>
      <w:bookmarkEnd w:id="130"/>
      <w:bookmarkEnd w:id="131"/>
      <w:bookmarkEnd w:id="146"/>
      <w:bookmarkEnd w:id="147"/>
      <w:bookmarkEnd w:id="148"/>
    </w:p>
    <w:p w:rsidR="00FF3B6A" w:rsidP="00FF3B6A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 xml:space="preserve">Sec. </w:t>
      </w:r>
      <w:bookmarkStart w:id="151" w:name="_BILL_SECTION_NUMBER__8b5527f7_526c_48c8"/>
      <w:r>
        <w:rPr>
          <w:rFonts w:ascii="Arial" w:eastAsia="Arial" w:hAnsi="Arial" w:cs="Arial"/>
          <w:b/>
          <w:sz w:val="24"/>
        </w:rPr>
        <w:t>3</w:t>
      </w:r>
      <w:bookmarkEnd w:id="151"/>
      <w:r>
        <w:rPr>
          <w:rFonts w:ascii="Arial" w:eastAsia="Arial" w:hAnsi="Arial" w:cs="Arial"/>
          <w:b/>
          <w:sz w:val="24"/>
        </w:rPr>
        <w:t>.  35-A MRSA §3214, sub-§2, ¶A,</w:t>
      </w:r>
      <w:r>
        <w:rPr>
          <w:rFonts w:ascii="Arial" w:eastAsia="Arial" w:hAnsi="Arial" w:cs="Arial"/>
        </w:rPr>
        <w:t xml:space="preserve"> as enacted by PL 1997, c. 316, §3, is amended to read:</w:t>
      </w:r>
    </w:p>
    <w:p w:rsidR="00FF3B6A" w:rsidP="00FF3B6A">
      <w:pPr>
        <w:ind w:left="720"/>
        <w:rPr>
          <w:rFonts w:ascii="Arial" w:eastAsia="Arial" w:hAnsi="Arial" w:cs="Arial"/>
        </w:rPr>
      </w:pPr>
      <w:bookmarkStart w:id="152" w:name="_STATUTE_NUMBER__66acf16e_fe78_42a4_860a"/>
      <w:bookmarkStart w:id="153" w:name="_STATUTE_P__0bce13df_9266_4f7c_8799_13c4"/>
      <w:bookmarkEnd w:id="149"/>
      <w:r>
        <w:rPr>
          <w:rFonts w:ascii="Arial" w:eastAsia="Arial" w:hAnsi="Arial" w:cs="Arial"/>
        </w:rPr>
        <w:t>A</w:t>
      </w:r>
      <w:bookmarkEnd w:id="152"/>
      <w:r>
        <w:rPr>
          <w:rFonts w:ascii="Arial" w:eastAsia="Arial" w:hAnsi="Arial" w:cs="Arial"/>
        </w:rPr>
        <w:t xml:space="preserve">.  </w:t>
      </w:r>
      <w:bookmarkStart w:id="154" w:name="_STATUTE_CONTENT__27520216_99f2_425c_bf6"/>
      <w:r>
        <w:rPr>
          <w:rFonts w:ascii="Arial" w:eastAsia="Arial" w:hAnsi="Arial" w:cs="Arial"/>
        </w:rPr>
        <w:t xml:space="preserve">Receive funds collected by all transmission and distribution utilities in the State at a rate set by the commission in periodic rate cases; </w:t>
      </w:r>
      <w:bookmarkStart w:id="155" w:name="_REV__2e73bba0_aad2_4572_ac4c_27939c032c"/>
      <w:bookmarkStart w:id="156" w:name="_PROCESSED_CHANGE__7d43251f_3e0e_4e24_bb"/>
      <w:bookmarkStart w:id="157" w:name="_PROCESSED_CHANGE__5d95bb28_a887_4f81_92"/>
      <w:bookmarkStart w:id="158" w:name="_PROCESSED_CHANGE__7283f886_fd12_4977_ba"/>
      <w:r>
        <w:rPr>
          <w:rFonts w:ascii="Arial" w:eastAsia="Arial" w:hAnsi="Arial" w:cs="Arial"/>
          <w:strike/>
        </w:rPr>
        <w:t>and</w:t>
      </w:r>
      <w:bookmarkEnd w:id="154"/>
      <w:bookmarkEnd w:id="155"/>
      <w:bookmarkEnd w:id="156"/>
      <w:bookmarkEnd w:id="157"/>
      <w:bookmarkEnd w:id="158"/>
    </w:p>
    <w:p w:rsidR="00FF3B6A" w:rsidP="00FF3B6A">
      <w:pPr>
        <w:ind w:left="360" w:firstLine="360"/>
        <w:rPr>
          <w:rFonts w:ascii="Arial" w:eastAsia="Arial" w:hAnsi="Arial" w:cs="Arial"/>
        </w:rPr>
      </w:pPr>
      <w:bookmarkStart w:id="159" w:name="_BILL_SECTION_HEADER__e9374a66_e5cc_4a98"/>
      <w:bookmarkStart w:id="160" w:name="_BILL_SECTION__b6b624d0_62d2_48e5_9004_6"/>
      <w:bookmarkEnd w:id="150"/>
      <w:bookmarkEnd w:id="153"/>
      <w:r>
        <w:rPr>
          <w:rFonts w:ascii="Arial" w:eastAsia="Arial" w:hAnsi="Arial" w:cs="Arial"/>
          <w:b/>
          <w:sz w:val="24"/>
        </w:rPr>
        <w:t xml:space="preserve">Sec. </w:t>
      </w:r>
      <w:bookmarkStart w:id="161" w:name="_BILL_SECTION_NUMBER__8994210b_326a_4b28"/>
      <w:r>
        <w:rPr>
          <w:rFonts w:ascii="Arial" w:eastAsia="Arial" w:hAnsi="Arial" w:cs="Arial"/>
          <w:b/>
          <w:sz w:val="24"/>
        </w:rPr>
        <w:t>4</w:t>
      </w:r>
      <w:bookmarkEnd w:id="161"/>
      <w:r>
        <w:rPr>
          <w:rFonts w:ascii="Arial" w:eastAsia="Arial" w:hAnsi="Arial" w:cs="Arial"/>
          <w:b/>
          <w:sz w:val="24"/>
        </w:rPr>
        <w:t>.  35-A MRSA §3214, sub-§2, ¶A-1</w:t>
      </w:r>
      <w:r>
        <w:rPr>
          <w:rFonts w:ascii="Arial" w:eastAsia="Arial" w:hAnsi="Arial" w:cs="Arial"/>
        </w:rPr>
        <w:t xml:space="preserve"> is enacted to read:</w:t>
      </w:r>
    </w:p>
    <w:p w:rsidR="00FF3B6A" w:rsidP="00FF3B6A">
      <w:pPr>
        <w:ind w:left="720"/>
        <w:rPr>
          <w:rFonts w:ascii="Arial" w:eastAsia="Arial" w:hAnsi="Arial" w:cs="Arial"/>
        </w:rPr>
      </w:pPr>
      <w:bookmarkStart w:id="162" w:name="_STATUTE_NUMBER__8120b9c9_9725_4e39_8530"/>
      <w:bookmarkStart w:id="163" w:name="_STATUTE_P__96618f2c_dac1_4967_89b0_19a3"/>
      <w:bookmarkStart w:id="164" w:name="_REV__7c335079_c439_4a56_973b_9577f6e6e8"/>
      <w:bookmarkStart w:id="165" w:name="_PROCESSED_CHANGE__3a7e3ed1_dcd3_4acb_ac"/>
      <w:bookmarkStart w:id="166" w:name="_PROCESSED_CHANGE__92920f5c_2a05_46bb_89"/>
      <w:bookmarkStart w:id="167" w:name="_PROCESSED_CHANGE__55812084_63ed_43d9_9a"/>
      <w:bookmarkEnd w:id="159"/>
      <w:r>
        <w:rPr>
          <w:rFonts w:ascii="Arial" w:eastAsia="Arial" w:hAnsi="Arial" w:cs="Arial"/>
          <w:u w:val="single"/>
        </w:rPr>
        <w:t>A-1</w:t>
      </w:r>
      <w:bookmarkEnd w:id="162"/>
      <w:r>
        <w:rPr>
          <w:rFonts w:ascii="Arial" w:eastAsia="Arial" w:hAnsi="Arial" w:cs="Arial"/>
          <w:u w:val="single"/>
        </w:rPr>
        <w:t xml:space="preserve">.  </w:t>
      </w:r>
      <w:bookmarkStart w:id="168" w:name="_STATUTE_CONTENT__ff2cc332_49de_441f_aa2"/>
      <w:r>
        <w:rPr>
          <w:rFonts w:ascii="Arial" w:eastAsia="Arial" w:hAnsi="Arial" w:cs="Arial"/>
          <w:u w:val="single"/>
        </w:rPr>
        <w:t>Receive funds collected by the commission for alternative compliance payments in accordance with section 3210, subsection 9, paragraph B; and</w:t>
      </w:r>
    </w:p>
    <w:p w:rsidR="00FF3B6A" w:rsidP="00FF3B6A">
      <w:pPr>
        <w:ind w:left="360" w:firstLine="360"/>
        <w:rPr>
          <w:rFonts w:ascii="Arial" w:eastAsia="Arial" w:hAnsi="Arial" w:cs="Arial"/>
        </w:rPr>
      </w:pPr>
      <w:bookmarkStart w:id="169" w:name="_BILL_SECTION_HEADER__62a35508_5a8a_46a5"/>
      <w:bookmarkStart w:id="170" w:name="_BILL_SECTION__21a616ab_a63c_4751_8cf7_9"/>
      <w:bookmarkEnd w:id="160"/>
      <w:bookmarkEnd w:id="163"/>
      <w:bookmarkEnd w:id="164"/>
      <w:bookmarkEnd w:id="165"/>
      <w:bookmarkEnd w:id="166"/>
      <w:bookmarkEnd w:id="167"/>
      <w:bookmarkEnd w:id="168"/>
      <w:r>
        <w:rPr>
          <w:rFonts w:ascii="Arial" w:eastAsia="Arial" w:hAnsi="Arial" w:cs="Arial"/>
          <w:b/>
          <w:sz w:val="24"/>
        </w:rPr>
        <w:t xml:space="preserve">Sec. </w:t>
      </w:r>
      <w:bookmarkStart w:id="171" w:name="_BILL_SECTION_NUMBER__3634389a_7c9a_47ea"/>
      <w:r>
        <w:rPr>
          <w:rFonts w:ascii="Arial" w:eastAsia="Arial" w:hAnsi="Arial" w:cs="Arial"/>
          <w:b/>
          <w:sz w:val="24"/>
        </w:rPr>
        <w:t>5</w:t>
      </w:r>
      <w:bookmarkEnd w:id="171"/>
      <w:r>
        <w:rPr>
          <w:rFonts w:ascii="Arial" w:eastAsia="Arial" w:hAnsi="Arial" w:cs="Arial"/>
          <w:b/>
          <w:sz w:val="24"/>
        </w:rPr>
        <w:t>.  35-A MRSA §3214, sub-§2,</w:t>
      </w:r>
      <w:r>
        <w:rPr>
          <w:rFonts w:ascii="Arial" w:eastAsia="Arial" w:hAnsi="Arial" w:cs="Arial"/>
        </w:rPr>
        <w:t xml:space="preserve"> </w:t>
      </w:r>
      <w:r w:rsidRPr="00425435">
        <w:rPr>
          <w:rFonts w:ascii="Arial" w:eastAsia="Arial" w:hAnsi="Arial" w:cs="Arial"/>
        </w:rPr>
        <w:t xml:space="preserve">as enacted by PL 1997, c. 316, §3, </w:t>
      </w:r>
      <w:r>
        <w:rPr>
          <w:rFonts w:ascii="Arial" w:eastAsia="Arial" w:hAnsi="Arial" w:cs="Arial"/>
        </w:rPr>
        <w:t>is amended by enacting at the end a new first blocked paragraph to read:</w:t>
      </w:r>
    </w:p>
    <w:p w:rsidR="00000000" w:rsidP="00FF3B6A">
      <w:pPr>
        <w:ind w:left="360"/>
        <w:rPr>
          <w:rFonts w:ascii="Arial" w:eastAsia="Arial" w:hAnsi="Arial" w:cs="Arial"/>
        </w:rPr>
      </w:pPr>
      <w:bookmarkStart w:id="172" w:name="_PROCESSED_CHANGE__09ae73da_b92f_48ac_a9"/>
      <w:bookmarkStart w:id="173" w:name="_PROCESSED_CHANGE__bd96c607_9185_406d_9e"/>
      <w:bookmarkStart w:id="174" w:name="_PROCESSED_CHANGE__cd183cce_7669_4b6d_b4"/>
      <w:bookmarkStart w:id="175" w:name="_REV__86097290_ad2f_46ac_94ee_4dfeb1c9c6"/>
      <w:bookmarkStart w:id="176" w:name="_STATUTE_CONTENT__04eaef46_4dfa_45e7_86a"/>
      <w:bookmarkStart w:id="177" w:name="_STATUTE_P__0eba561e_7cfc_4d10_a389_ab56"/>
      <w:bookmarkEnd w:id="169"/>
      <w:r>
        <w:rPr>
          <w:rFonts w:ascii="Arial" w:eastAsia="Arial" w:hAnsi="Arial" w:cs="Arial"/>
          <w:u w:val="single"/>
        </w:rPr>
        <w:t xml:space="preserve">The commission may adopt rules to implement this subsection. Rules adopted under this subsection are routine technical rules pursuant to </w:t>
      </w:r>
      <w:r>
        <w:rPr>
          <w:rFonts w:ascii="Arial" w:eastAsia="Arial" w:hAnsi="Arial" w:cs="Arial"/>
          <w:u w:val="single"/>
        </w:rPr>
        <w:t xml:space="preserve">Title 5, </w:t>
      </w:r>
      <w:r>
        <w:rPr>
          <w:rFonts w:ascii="Arial" w:eastAsia="Arial" w:hAnsi="Arial" w:cs="Arial"/>
          <w:u w:val="single"/>
        </w:rPr>
        <w:t>chapter 375, subchapter 2‑A.</w:t>
      </w:r>
      <w:bookmarkEnd w:id="2"/>
      <w:bookmarkEnd w:id="5"/>
      <w:bookmarkEnd w:id="6"/>
      <w:bookmarkEnd w:id="170"/>
      <w:bookmarkEnd w:id="172"/>
      <w:bookmarkEnd w:id="173"/>
      <w:bookmarkEnd w:id="174"/>
      <w:bookmarkEnd w:id="175"/>
      <w:bookmarkEnd w:id="176"/>
      <w:bookmarkEnd w:id="17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LR1322, item 6 - 131st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Portfolio Requirements for Class II Resources and Require Money Collected from Alternative Compliance Payments to Be Used for Financial Assistance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399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25435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F3B6A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