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Certain Bulk Sale Customers To Opt Out of Paper Delivery Tickets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666 - L.D. 1896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Allow Certain Bulk Sale Customers To Opt Out of Paper Delivery Tickets</w:t>
      </w:r>
    </w:p>
    <w:p w:rsidR="0074614F" w:rsidP="0074614F">
      <w:pPr>
        <w:ind w:left="360"/>
        <w:rPr>
          <w:rFonts w:ascii="Arial" w:eastAsia="Arial" w:hAnsi="Arial" w:cs="Arial"/>
        </w:rPr>
      </w:pPr>
      <w:bookmarkStart w:id="0" w:name="_ENACTING_CLAUSE__080ac0a0_a02f_4e59_a4f"/>
      <w:bookmarkStart w:id="1" w:name="_PAR__1_93d677be_48d9_47bf_9173_d5e4e21e"/>
      <w:bookmarkStart w:id="2" w:name="_DOC_BODY_CONTAINER__cb9b77f9_a064_43c4_"/>
      <w:r>
        <w:rPr>
          <w:rFonts w:ascii="Arial" w:eastAsia="Arial" w:hAnsi="Arial" w:cs="Arial"/>
          <w:b/>
        </w:rPr>
        <w:t>Be it enacted by the People of the State of Maine as follows:</w:t>
      </w:r>
    </w:p>
    <w:p w:rsidR="0074614F" w:rsidP="0074614F">
      <w:pPr>
        <w:ind w:left="360" w:firstLine="360"/>
        <w:rPr>
          <w:rFonts w:ascii="Arial" w:eastAsia="Arial" w:hAnsi="Arial" w:cs="Arial"/>
        </w:rPr>
      </w:pPr>
      <w:bookmarkStart w:id="3" w:name="_BILL_SECTION_HEADER__bee39fc8_e766_40e5"/>
      <w:bookmarkStart w:id="4" w:name="_PAR__4_ae208c2f_bd1f_404c_a737_6af2d819"/>
      <w:bookmarkStart w:id="5" w:name="_BILL_SECTION__e4ac1a0d_616a_40b1_a2cb_8"/>
      <w:bookmarkStart w:id="6" w:name="_DOC_BODY_CONTENT__59050820_92db_43ea_af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ca837265_9559_4d67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10 MRSA §2624, sub-§4,</w:t>
      </w:r>
      <w:r>
        <w:rPr>
          <w:rFonts w:ascii="Arial" w:eastAsia="Arial" w:hAnsi="Arial" w:cs="Arial"/>
        </w:rPr>
        <w:t xml:space="preserve"> as enacted by PL 1973, c. 91, §10, is amended to read:</w:t>
      </w:r>
    </w:p>
    <w:p w:rsidR="0074614F" w:rsidP="0074614F">
      <w:pPr>
        <w:ind w:left="360" w:firstLine="360"/>
        <w:rPr>
          <w:rFonts w:ascii="Arial" w:eastAsia="Arial" w:hAnsi="Arial" w:cs="Arial"/>
        </w:rPr>
      </w:pPr>
      <w:bookmarkStart w:id="8" w:name="_STATUTE_NUMBER__1e4519c2_9928_437b_90fc"/>
      <w:bookmarkStart w:id="9" w:name="_STATUTE_SS__aac74031_b1c4_4682_a144_21d"/>
      <w:bookmarkStart w:id="10" w:name="_PAR__5_b9e4b325_f8ee_4a05_a909_35a46342"/>
      <w:bookmarkEnd w:id="3"/>
      <w:bookmarkEnd w:id="4"/>
      <w:r>
        <w:rPr>
          <w:rFonts w:ascii="Arial" w:eastAsia="Arial" w:hAnsi="Arial" w:cs="Arial"/>
          <w:b/>
        </w:rPr>
        <w:t>4</w:t>
      </w:r>
      <w:bookmarkEnd w:id="8"/>
      <w:r>
        <w:rPr>
          <w:rFonts w:ascii="Arial" w:eastAsia="Arial" w:hAnsi="Arial" w:cs="Arial"/>
          <w:b/>
        </w:rPr>
        <w:t xml:space="preserve">.  </w:t>
      </w:r>
      <w:bookmarkStart w:id="11" w:name="_STATUTE_HEADNOTE__c86cce3e_91d0_493f_ad"/>
      <w:r>
        <w:rPr>
          <w:rFonts w:ascii="Arial" w:eastAsia="Arial" w:hAnsi="Arial" w:cs="Arial"/>
          <w:b/>
        </w:rPr>
        <w:t>Identity.</w:t>
      </w:r>
      <w:bookmarkEnd w:id="1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" w:name="_STATUTE_CONTENT__1e5570f0_94bc_4f30_a33"/>
      <w:r>
        <w:rPr>
          <w:rFonts w:ascii="Arial" w:eastAsia="Arial" w:hAnsi="Arial" w:cs="Arial"/>
        </w:rPr>
        <w:t xml:space="preserve">The identity in the most descriptive terms commercially practicable, including any quality representation made in connection with the sale; </w:t>
      </w:r>
      <w:r>
        <w:rPr>
          <w:rFonts w:ascii="Arial" w:eastAsia="Arial" w:hAnsi="Arial" w:cs="Arial"/>
          <w:u w:val="single"/>
        </w:rPr>
        <w:t>and</w:t>
      </w:r>
      <w:bookmarkEnd w:id="12"/>
    </w:p>
    <w:p w:rsidR="0074614F" w:rsidP="0074614F">
      <w:pPr>
        <w:ind w:left="360" w:firstLine="360"/>
        <w:rPr>
          <w:rFonts w:ascii="Arial" w:eastAsia="Arial" w:hAnsi="Arial" w:cs="Arial"/>
        </w:rPr>
      </w:pPr>
      <w:bookmarkStart w:id="13" w:name="_BILL_SECTION_HEADER__b4e45fab_4cd4_4abf"/>
      <w:bookmarkStart w:id="14" w:name="_BILL_SECTION__b273f439_3d57_43f6_b2bc_0"/>
      <w:bookmarkStart w:id="15" w:name="_INSTRUCTION__7eeb9473_4d83_4404_b6b4_aa"/>
      <w:bookmarkEnd w:id="5"/>
      <w:bookmarkEnd w:id="9"/>
      <w:bookmarkEnd w:id="10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SECTION_NUMBER__044f407f_9a64_48d0"/>
      <w:r>
        <w:rPr>
          <w:rFonts w:ascii="Arial" w:eastAsia="Arial" w:hAnsi="Arial" w:cs="Arial"/>
          <w:b/>
          <w:sz w:val="24"/>
        </w:rPr>
        <w:t>2</w:t>
      </w:r>
      <w:bookmarkEnd w:id="16"/>
      <w:r>
        <w:rPr>
          <w:rFonts w:ascii="Arial" w:eastAsia="Arial" w:hAnsi="Arial" w:cs="Arial"/>
          <w:b/>
          <w:sz w:val="24"/>
        </w:rPr>
        <w:t>.  10 MRSA §2624,</w:t>
      </w:r>
      <w:r>
        <w:rPr>
          <w:rFonts w:ascii="Arial" w:eastAsia="Arial" w:hAnsi="Arial" w:cs="Arial"/>
        </w:rPr>
        <w:t xml:space="preserve"> </w:t>
      </w:r>
      <w:r w:rsidRPr="00D6103A">
        <w:rPr>
          <w:rFonts w:ascii="Arial" w:eastAsia="Arial" w:hAnsi="Arial" w:cs="Arial"/>
        </w:rPr>
        <w:t>as amended by PL 2001, c. 491, §2, is further amended by enacting at the end a new paragraph</w:t>
      </w:r>
      <w:r>
        <w:rPr>
          <w:rFonts w:ascii="Arial" w:eastAsia="Arial" w:hAnsi="Arial" w:cs="Arial"/>
        </w:rPr>
        <w:t xml:space="preserve"> to read:</w:t>
      </w:r>
    </w:p>
    <w:p w:rsidR="00000000" w:rsidP="0074614F">
      <w:pPr>
        <w:ind w:left="360" w:firstLine="360"/>
        <w:rPr>
          <w:rFonts w:ascii="Arial" w:eastAsia="Arial" w:hAnsi="Arial" w:cs="Arial"/>
        </w:rPr>
      </w:pPr>
      <w:bookmarkStart w:id="17" w:name="_REV__8dda6b63_0a48_4fa9_a006_b636946318"/>
      <w:bookmarkStart w:id="18" w:name="_STATUTE_CONTENT__07077d8c_8c67_4797_805"/>
      <w:bookmarkStart w:id="19" w:name="_STATUTE_P__1eee87d2_35df_47a5_bbd7_3dbd"/>
      <w:bookmarkEnd w:id="13"/>
      <w:r>
        <w:rPr>
          <w:rFonts w:ascii="Arial" w:eastAsia="Arial" w:hAnsi="Arial" w:cs="Arial"/>
          <w:u w:val="single"/>
        </w:rPr>
        <w:t xml:space="preserve">Notwithstanding any other provision of this section, a vendor using a bulk sale delivery system equipped with the capability of issuing an electronic receipt, ticket or other recorded representation </w:t>
      </w:r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  <w:u w:val="single"/>
        </w:rPr>
        <w:t xml:space="preserve"> a bulk sale may give a purchaser the option to receive any information required under this section through electronic means, </w:t>
      </w:r>
      <w:r>
        <w:rPr>
          <w:rFonts w:ascii="Arial" w:eastAsia="Arial" w:hAnsi="Arial" w:cs="Arial"/>
          <w:u w:val="single"/>
        </w:rPr>
        <w:t>such as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cell</w:t>
      </w:r>
      <w:r>
        <w:rPr>
          <w:rFonts w:ascii="Arial" w:eastAsia="Arial" w:hAnsi="Arial" w:cs="Arial"/>
          <w:u w:val="single"/>
        </w:rPr>
        <w:t>ular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tele</w:t>
      </w:r>
      <w:r>
        <w:rPr>
          <w:rFonts w:ascii="Arial" w:eastAsia="Arial" w:hAnsi="Arial" w:cs="Arial"/>
          <w:u w:val="single"/>
        </w:rPr>
        <w:t xml:space="preserve">phone,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computer or 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mail, in lieu of or in addition to a paper delivery ticket.  If the purchaser opts to receive information electronically, the vendor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obtain the purchaser's consent in writing, which may be through electronic means.</w:t>
      </w:r>
      <w:bookmarkEnd w:id="2"/>
      <w:bookmarkEnd w:id="6"/>
      <w:bookmarkEnd w:id="14"/>
      <w:bookmarkEnd w:id="15"/>
      <w:bookmarkEnd w:id="17"/>
      <w:bookmarkEnd w:id="18"/>
      <w:bookmarkEnd w:id="1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LR2258, item 5 - 130th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Certain Bulk Sale Customers To Opt Out of Paper Delivery Tickets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1896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4614F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6103A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