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the Child and Family Court Process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648 - L.D. 1831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the Child and Family Court Process</w:t>
      </w:r>
    </w:p>
    <w:p w:rsidR="00DC1D2A" w:rsidP="00DC1D2A">
      <w:pPr>
        <w:ind w:left="360"/>
        <w:rPr>
          <w:rFonts w:ascii="Arial" w:eastAsia="Arial" w:hAnsi="Arial" w:cs="Arial"/>
        </w:rPr>
      </w:pPr>
      <w:bookmarkStart w:id="0" w:name="_ENACTING_CLAUSE__505e9f9e_4d60_483d_9d1"/>
      <w:bookmarkStart w:id="1" w:name="_PAR__1_4acca430_ba32_4ffd_87dd_e29179f3"/>
      <w:bookmarkStart w:id="2" w:name="_DOC_BODY_CONTAINER__225e3e3f_5f04_4512_"/>
      <w:r>
        <w:rPr>
          <w:rFonts w:ascii="Arial" w:eastAsia="Arial" w:hAnsi="Arial" w:cs="Arial"/>
          <w:b/>
        </w:rPr>
        <w:t>Be it enacted by the People of the State of Maine as follows:</w:t>
      </w:r>
    </w:p>
    <w:p w:rsidR="00DC1D2A" w:rsidP="00DC1D2A">
      <w:pPr>
        <w:ind w:left="360" w:firstLine="360"/>
        <w:rPr>
          <w:rFonts w:ascii="Arial" w:eastAsia="Arial" w:hAnsi="Arial" w:cs="Arial"/>
        </w:rPr>
      </w:pPr>
      <w:bookmarkStart w:id="3" w:name="_BILL_SECTION_HEADER__cfdbcd7b_c781_449c"/>
      <w:bookmarkStart w:id="4" w:name="_PAR__2_c7efa1bc_80a5_41de_9340_2e8b8d6d"/>
      <w:bookmarkStart w:id="5" w:name="_BILL_SECTION__17bfed7a_24db_467d_bda3_0"/>
      <w:bookmarkStart w:id="6" w:name="_DOC_BODY_CONTENT__51fec502_1966_4cc9_a2"/>
      <w:bookmarkEnd w:id="0"/>
      <w:bookmarkEnd w:id="1"/>
      <w:r>
        <w:rPr>
          <w:rFonts w:ascii="Arial" w:eastAsia="Arial" w:hAnsi="Arial" w:cs="Arial"/>
          <w:b/>
          <w:sz w:val="24"/>
        </w:rPr>
        <w:t xml:space="preserve">Sec. </w:t>
      </w:r>
      <w:bookmarkStart w:id="7" w:name="_BILL_SECTION_NUMBER__268c56d7_5b9a_4feb"/>
      <w:r>
        <w:rPr>
          <w:rFonts w:ascii="Arial" w:eastAsia="Arial" w:hAnsi="Arial" w:cs="Arial"/>
          <w:b/>
          <w:sz w:val="24"/>
        </w:rPr>
        <w:t>1</w:t>
      </w:r>
      <w:bookmarkEnd w:id="7"/>
      <w:r>
        <w:rPr>
          <w:rFonts w:ascii="Arial" w:eastAsia="Arial" w:hAnsi="Arial" w:cs="Arial"/>
          <w:b/>
          <w:sz w:val="24"/>
        </w:rPr>
        <w:t>.  4 MRSA §10-A</w:t>
      </w:r>
      <w:r>
        <w:rPr>
          <w:rFonts w:ascii="Arial" w:eastAsia="Arial" w:hAnsi="Arial" w:cs="Arial"/>
        </w:rPr>
        <w:t xml:space="preserve"> is enacted to read:</w:t>
      </w:r>
    </w:p>
    <w:p w:rsidR="00DC1D2A" w:rsidP="00DC1D2A">
      <w:pPr>
        <w:ind w:left="1080" w:hanging="720"/>
        <w:rPr>
          <w:rFonts w:ascii="Arial" w:eastAsia="Arial" w:hAnsi="Arial" w:cs="Arial"/>
        </w:rPr>
      </w:pPr>
      <w:bookmarkStart w:id="8" w:name="_PAR__3_12666e3b_a624_40d0_8178_a62bbcd3"/>
      <w:bookmarkStart w:id="9" w:name="_STATUTE_S__4eaa80fe_b0eb_468b_b7a3_f16d"/>
      <w:bookmarkEnd w:id="3"/>
      <w:bookmarkEnd w:id="4"/>
      <w:r>
        <w:rPr>
          <w:rFonts w:ascii="Arial" w:eastAsia="Arial" w:hAnsi="Arial" w:cs="Arial"/>
          <w:b/>
          <w:u w:val="single"/>
        </w:rPr>
        <w:t>§</w:t>
      </w:r>
      <w:bookmarkStart w:id="10" w:name="_STATUTE_NUMBER__01fcf7b8_277a_4da4_90c2"/>
      <w:r>
        <w:rPr>
          <w:rFonts w:ascii="Arial" w:eastAsia="Arial" w:hAnsi="Arial" w:cs="Arial"/>
          <w:b/>
          <w:u w:val="single"/>
        </w:rPr>
        <w:t>10-A</w:t>
      </w:r>
      <w:bookmarkEnd w:id="10"/>
      <w:r>
        <w:rPr>
          <w:rFonts w:ascii="Arial" w:eastAsia="Arial" w:hAnsi="Arial" w:cs="Arial"/>
          <w:b/>
          <w:u w:val="single"/>
        </w:rPr>
        <w:t xml:space="preserve">.  </w:t>
      </w:r>
      <w:bookmarkStart w:id="11" w:name="_STATUTE_HEADNOTE__f556a737_5cf0_4909_99"/>
      <w:r>
        <w:rPr>
          <w:rFonts w:ascii="Arial" w:eastAsia="Arial" w:hAnsi="Arial" w:cs="Arial"/>
          <w:b/>
          <w:u w:val="single"/>
        </w:rPr>
        <w:t>Annual training; domestic violence and child abuse issues</w:t>
      </w:r>
      <w:bookmarkEnd w:id="11"/>
    </w:p>
    <w:p w:rsidR="00DC1D2A" w:rsidP="00DC1D2A">
      <w:pPr>
        <w:ind w:left="360" w:firstLine="360"/>
        <w:rPr>
          <w:rFonts w:ascii="Arial" w:eastAsia="Arial" w:hAnsi="Arial" w:cs="Arial"/>
        </w:rPr>
      </w:pPr>
      <w:bookmarkStart w:id="12" w:name="_STATUTE_P__bf1fc4bb_3843_4188_a308_7be4"/>
      <w:bookmarkStart w:id="13" w:name="_STATUTE_CONTENT__c38118fb_9a78_4824_a75"/>
      <w:bookmarkStart w:id="14" w:name="_PAR__4_b4dd4dfa_15e9_4594_a56d_6557e7f3"/>
      <w:bookmarkEnd w:id="8"/>
      <w:r>
        <w:rPr>
          <w:rFonts w:ascii="Arial" w:eastAsia="Arial" w:hAnsi="Arial" w:cs="Arial"/>
          <w:u w:val="single"/>
        </w:rPr>
        <w:t>The Chief Justice of the Supreme Judicial Court shall establish annual training and education designed to inform Justices of the Supreme Judicial Court on domestic violence and child abuse, neglect and maltreatment issues.</w:t>
      </w:r>
    </w:p>
    <w:p w:rsidR="00DC1D2A" w:rsidP="00DC1D2A">
      <w:pPr>
        <w:ind w:left="360" w:firstLine="360"/>
        <w:rPr>
          <w:rFonts w:ascii="Arial" w:eastAsia="Arial" w:hAnsi="Arial" w:cs="Arial"/>
        </w:rPr>
      </w:pPr>
      <w:bookmarkStart w:id="15" w:name="_BILL_SECTION_HEADER__57c98540_4193_44c0"/>
      <w:bookmarkStart w:id="16" w:name="_PAR__5_540c56d6_80b8_4c29_b18c_a3ded9e1"/>
      <w:bookmarkStart w:id="17" w:name="_BILL_SECTION__d6c87b72_2e64_41f2_812d_f"/>
      <w:bookmarkEnd w:id="5"/>
      <w:bookmarkEnd w:id="9"/>
      <w:bookmarkEnd w:id="12"/>
      <w:bookmarkEnd w:id="13"/>
      <w:bookmarkEnd w:id="14"/>
      <w:r>
        <w:rPr>
          <w:rFonts w:ascii="Arial" w:eastAsia="Arial" w:hAnsi="Arial" w:cs="Arial"/>
          <w:b/>
          <w:sz w:val="24"/>
        </w:rPr>
        <w:t xml:space="preserve">Sec. </w:t>
      </w:r>
      <w:bookmarkStart w:id="18" w:name="_BILL_SECTION_NUMBER__78fc7bb3_0dab_4701"/>
      <w:r>
        <w:rPr>
          <w:rFonts w:ascii="Arial" w:eastAsia="Arial" w:hAnsi="Arial" w:cs="Arial"/>
          <w:b/>
          <w:sz w:val="24"/>
        </w:rPr>
        <w:t>2</w:t>
      </w:r>
      <w:bookmarkEnd w:id="18"/>
      <w:r>
        <w:rPr>
          <w:rFonts w:ascii="Arial" w:eastAsia="Arial" w:hAnsi="Arial" w:cs="Arial"/>
          <w:b/>
          <w:sz w:val="24"/>
        </w:rPr>
        <w:t>.  4 MRSA §122</w:t>
      </w:r>
      <w:r>
        <w:rPr>
          <w:rFonts w:ascii="Arial" w:eastAsia="Arial" w:hAnsi="Arial" w:cs="Arial"/>
        </w:rPr>
        <w:t xml:space="preserve"> is enacted to read:</w:t>
      </w:r>
    </w:p>
    <w:p w:rsidR="00DC1D2A" w:rsidP="00DC1D2A">
      <w:pPr>
        <w:ind w:left="1080" w:hanging="720"/>
        <w:rPr>
          <w:rFonts w:ascii="Arial" w:eastAsia="Arial" w:hAnsi="Arial" w:cs="Arial"/>
        </w:rPr>
      </w:pPr>
      <w:bookmarkStart w:id="19" w:name="_PAR__6_0e323a0a_f18d_42a5_b333_3591a8ee"/>
      <w:bookmarkStart w:id="20" w:name="_STATUTE_S__85391bc7_1577_4bcf_aa54_3858"/>
      <w:bookmarkEnd w:id="15"/>
      <w:bookmarkEnd w:id="16"/>
      <w:r>
        <w:rPr>
          <w:rFonts w:ascii="Arial" w:eastAsia="Arial" w:hAnsi="Arial" w:cs="Arial"/>
          <w:b/>
          <w:u w:val="single"/>
        </w:rPr>
        <w:t>§</w:t>
      </w:r>
      <w:bookmarkStart w:id="21" w:name="_STATUTE_NUMBER__e0fa0c4c_9987_4f46_9155"/>
      <w:r>
        <w:rPr>
          <w:rFonts w:ascii="Arial" w:eastAsia="Arial" w:hAnsi="Arial" w:cs="Arial"/>
          <w:b/>
          <w:u w:val="single"/>
        </w:rPr>
        <w:t>122</w:t>
      </w:r>
      <w:bookmarkEnd w:id="21"/>
      <w:r>
        <w:rPr>
          <w:rFonts w:ascii="Arial" w:eastAsia="Arial" w:hAnsi="Arial" w:cs="Arial"/>
          <w:b/>
          <w:u w:val="single"/>
        </w:rPr>
        <w:t xml:space="preserve">.  </w:t>
      </w:r>
      <w:bookmarkStart w:id="22" w:name="_STATUTE_HEADNOTE__2d6255d1_db08_4a12_a0"/>
      <w:r>
        <w:rPr>
          <w:rFonts w:ascii="Arial" w:eastAsia="Arial" w:hAnsi="Arial" w:cs="Arial"/>
          <w:b/>
          <w:u w:val="single"/>
        </w:rPr>
        <w:t>Annual training; domestic violence and child abuse issues</w:t>
      </w:r>
      <w:bookmarkEnd w:id="22"/>
    </w:p>
    <w:p w:rsidR="00DC1D2A" w:rsidP="00DC1D2A">
      <w:pPr>
        <w:ind w:left="360" w:firstLine="360"/>
        <w:rPr>
          <w:rFonts w:ascii="Arial" w:eastAsia="Arial" w:hAnsi="Arial" w:cs="Arial"/>
        </w:rPr>
      </w:pPr>
      <w:bookmarkStart w:id="23" w:name="_STATUTE_P__a271699c_2efd_49e9_a546_d777"/>
      <w:bookmarkStart w:id="24" w:name="_STATUTE_CONTENT__4b548589_8040_4a16_974"/>
      <w:bookmarkStart w:id="25" w:name="_PAR__7_e9dee4b6_1638_42c6_ab2a_fbce421f"/>
      <w:bookmarkEnd w:id="19"/>
      <w:r>
        <w:rPr>
          <w:rFonts w:ascii="Arial" w:eastAsia="Arial" w:hAnsi="Arial" w:cs="Arial"/>
          <w:u w:val="single"/>
        </w:rPr>
        <w:t xml:space="preserve">The Chief Justice of the Superior Court shall establish annual training and education designed to inform </w:t>
      </w:r>
      <w:r>
        <w:rPr>
          <w:rFonts w:ascii="Arial" w:eastAsia="Arial" w:hAnsi="Arial" w:cs="Arial"/>
          <w:u w:val="single"/>
        </w:rPr>
        <w:t xml:space="preserve">Justices of the </w:t>
      </w:r>
      <w:r>
        <w:rPr>
          <w:rFonts w:ascii="Arial" w:eastAsia="Arial" w:hAnsi="Arial" w:cs="Arial"/>
          <w:u w:val="single"/>
        </w:rPr>
        <w:t>Superior Court on domestic violence and child abuse, neglect and maltreatment issues.</w:t>
      </w:r>
    </w:p>
    <w:p w:rsidR="00DC1D2A" w:rsidP="00DC1D2A">
      <w:pPr>
        <w:ind w:left="360" w:firstLine="360"/>
        <w:rPr>
          <w:rFonts w:ascii="Arial" w:eastAsia="Arial" w:hAnsi="Arial" w:cs="Arial"/>
        </w:rPr>
      </w:pPr>
      <w:bookmarkStart w:id="26" w:name="_BILL_SECTION_HEADER__d775d4b1_fc99_437a"/>
      <w:bookmarkStart w:id="27" w:name="_PAR__8_dd92be98_bf27_463c_89f2_5f96e3c2"/>
      <w:bookmarkStart w:id="28" w:name="_BILL_SECTION__fd7f5d45_34ec_4fcf_bdf3_f"/>
      <w:bookmarkEnd w:id="17"/>
      <w:bookmarkEnd w:id="20"/>
      <w:bookmarkEnd w:id="23"/>
      <w:bookmarkEnd w:id="24"/>
      <w:bookmarkEnd w:id="25"/>
      <w:r>
        <w:rPr>
          <w:rFonts w:ascii="Arial" w:eastAsia="Arial" w:hAnsi="Arial" w:cs="Arial"/>
          <w:b/>
          <w:sz w:val="24"/>
        </w:rPr>
        <w:t xml:space="preserve">Sec. </w:t>
      </w:r>
      <w:bookmarkStart w:id="29" w:name="_BILL_SECTION_NUMBER__3676c683_0ad6_4d8e"/>
      <w:r>
        <w:rPr>
          <w:rFonts w:ascii="Arial" w:eastAsia="Arial" w:hAnsi="Arial" w:cs="Arial"/>
          <w:b/>
          <w:sz w:val="24"/>
        </w:rPr>
        <w:t>3</w:t>
      </w:r>
      <w:bookmarkEnd w:id="29"/>
      <w:r>
        <w:rPr>
          <w:rFonts w:ascii="Arial" w:eastAsia="Arial" w:hAnsi="Arial" w:cs="Arial"/>
          <w:b/>
          <w:sz w:val="24"/>
        </w:rPr>
        <w:t>.  4 MRSA §164, sub-§17, ¶E,</w:t>
      </w:r>
      <w:r>
        <w:rPr>
          <w:rFonts w:ascii="Arial" w:eastAsia="Arial" w:hAnsi="Arial" w:cs="Arial"/>
        </w:rPr>
        <w:t xml:space="preserve"> as amended by PL 1993, c. 680, Pt. A, §6, is further amended to read:</w:t>
      </w:r>
    </w:p>
    <w:p w:rsidR="00DC1D2A" w:rsidP="00DC1D2A">
      <w:pPr>
        <w:ind w:left="720"/>
        <w:rPr>
          <w:rFonts w:ascii="Arial" w:eastAsia="Arial" w:hAnsi="Arial" w:cs="Arial"/>
        </w:rPr>
      </w:pPr>
      <w:bookmarkStart w:id="30" w:name="_STATUTE_NUMBER__e0417a10_e2f5_4629_9ce9"/>
      <w:bookmarkStart w:id="31" w:name="_STATUTE_P__80003990_e9df_4650_a063_9fb7"/>
      <w:bookmarkStart w:id="32" w:name="_PAR__9_901654d5_4be5_4af9_990f_69e9d5ee"/>
      <w:bookmarkEnd w:id="26"/>
      <w:bookmarkEnd w:id="27"/>
      <w:r>
        <w:rPr>
          <w:rFonts w:ascii="Arial" w:eastAsia="Arial" w:hAnsi="Arial" w:cs="Arial"/>
        </w:rPr>
        <w:t>E</w:t>
      </w:r>
      <w:bookmarkEnd w:id="30"/>
      <w:r>
        <w:rPr>
          <w:rFonts w:ascii="Arial" w:eastAsia="Arial" w:hAnsi="Arial" w:cs="Arial"/>
        </w:rPr>
        <w:t xml:space="preserve">.  </w:t>
      </w:r>
      <w:bookmarkStart w:id="33" w:name="_STATUTE_CONTENT__0ad3d13f_4008_4703_b7e"/>
      <w:r>
        <w:rPr>
          <w:rFonts w:ascii="Arial" w:eastAsia="Arial" w:hAnsi="Arial" w:cs="Arial"/>
        </w:rPr>
        <w:t xml:space="preserve">The Chief Judge, following notification to the Chief Justice of the Supreme Judicial Court or the Chief Justice's delegate, may authorize such forms and procedures as the Chief Judge considers appropriate to carry out this subsection; </w:t>
      </w:r>
      <w:r>
        <w:rPr>
          <w:rFonts w:ascii="Arial" w:eastAsia="Arial" w:hAnsi="Arial" w:cs="Arial"/>
          <w:strike/>
        </w:rPr>
        <w:t>and</w:t>
      </w:r>
      <w:bookmarkEnd w:id="33"/>
    </w:p>
    <w:p w:rsidR="00DC1D2A" w:rsidP="00DC1D2A">
      <w:pPr>
        <w:ind w:left="360" w:firstLine="360"/>
        <w:rPr>
          <w:rFonts w:ascii="Arial" w:eastAsia="Arial" w:hAnsi="Arial" w:cs="Arial"/>
        </w:rPr>
      </w:pPr>
      <w:bookmarkStart w:id="34" w:name="_BILL_SECTION_HEADER__ad6145c8_f854_41db"/>
      <w:bookmarkStart w:id="35" w:name="_PAR__10_bfe3f8a6_d484_4633_87ef_e188b8a"/>
      <w:bookmarkStart w:id="36" w:name="_BILL_SECTION__37baeed1_e85f_400d_8ed0_4"/>
      <w:bookmarkEnd w:id="28"/>
      <w:bookmarkEnd w:id="31"/>
      <w:bookmarkEnd w:id="32"/>
      <w:r>
        <w:rPr>
          <w:rFonts w:ascii="Arial" w:eastAsia="Arial" w:hAnsi="Arial" w:cs="Arial"/>
          <w:b/>
          <w:sz w:val="24"/>
        </w:rPr>
        <w:t xml:space="preserve">Sec. </w:t>
      </w:r>
      <w:bookmarkStart w:id="37" w:name="_BILL_SECTION_NUMBER__90679d86_893f_4ff5"/>
      <w:r>
        <w:rPr>
          <w:rFonts w:ascii="Arial" w:eastAsia="Arial" w:hAnsi="Arial" w:cs="Arial"/>
          <w:b/>
          <w:sz w:val="24"/>
        </w:rPr>
        <w:t>4</w:t>
      </w:r>
      <w:bookmarkEnd w:id="37"/>
      <w:r>
        <w:rPr>
          <w:rFonts w:ascii="Arial" w:eastAsia="Arial" w:hAnsi="Arial" w:cs="Arial"/>
          <w:b/>
          <w:sz w:val="24"/>
        </w:rPr>
        <w:t>.  4 MRSA §164, sub-§18, ¶E,</w:t>
      </w:r>
      <w:r>
        <w:rPr>
          <w:rFonts w:ascii="Arial" w:eastAsia="Arial" w:hAnsi="Arial" w:cs="Arial"/>
        </w:rPr>
        <w:t xml:space="preserve"> as enacted by PL 1991, c. 635, is amended to read:</w:t>
      </w:r>
    </w:p>
    <w:p w:rsidR="00DC1D2A" w:rsidP="00DC1D2A">
      <w:pPr>
        <w:ind w:left="720"/>
        <w:rPr>
          <w:rFonts w:ascii="Arial" w:eastAsia="Arial" w:hAnsi="Arial" w:cs="Arial"/>
        </w:rPr>
      </w:pPr>
      <w:bookmarkStart w:id="38" w:name="_STATUTE_NUMBER__b52286c1_5bf1_4493_8fdc"/>
      <w:bookmarkStart w:id="39" w:name="_STATUTE_P__ebb4048b_e701_4749_b21d_b2a0"/>
      <w:bookmarkStart w:id="40" w:name="_PAR__11_900a7726_6200_4c63_8363_4906c40"/>
      <w:bookmarkEnd w:id="34"/>
      <w:bookmarkEnd w:id="35"/>
      <w:r>
        <w:rPr>
          <w:rFonts w:ascii="Arial" w:eastAsia="Arial" w:hAnsi="Arial" w:cs="Arial"/>
        </w:rPr>
        <w:t>E</w:t>
      </w:r>
      <w:bookmarkEnd w:id="38"/>
      <w:r>
        <w:rPr>
          <w:rFonts w:ascii="Arial" w:eastAsia="Arial" w:hAnsi="Arial" w:cs="Arial"/>
        </w:rPr>
        <w:t xml:space="preserve">.  </w:t>
      </w:r>
      <w:bookmarkStart w:id="41" w:name="_STATUTE_CONTENT__36c01a1d_61f6_4906_839"/>
      <w:r>
        <w:rPr>
          <w:rFonts w:ascii="Arial" w:eastAsia="Arial" w:hAnsi="Arial" w:cs="Arial"/>
        </w:rPr>
        <w:t>The Chief Judge, following notification to the Chief Justice of the Supreme Court or the Chief Justice's delegate, may authorize forms and procedures as the Chief Judge considers appropriate to carry out this subsection</w:t>
      </w:r>
      <w:r>
        <w:rPr>
          <w:rFonts w:ascii="Arial" w:eastAsia="Arial" w:hAnsi="Arial" w:cs="Arial"/>
          <w:strike/>
        </w:rPr>
        <w:t>.</w:t>
      </w:r>
      <w:r>
        <w:rPr>
          <w:rFonts w:ascii="Arial" w:eastAsia="Arial" w:hAnsi="Arial" w:cs="Arial"/>
          <w:u w:val="single"/>
        </w:rPr>
        <w:t>; and</w:t>
      </w:r>
      <w:bookmarkEnd w:id="41"/>
    </w:p>
    <w:p w:rsidR="00DC1D2A" w:rsidP="00DC1D2A">
      <w:pPr>
        <w:ind w:left="360" w:firstLine="360"/>
        <w:rPr>
          <w:rFonts w:ascii="Arial" w:eastAsia="Arial" w:hAnsi="Arial" w:cs="Arial"/>
        </w:rPr>
      </w:pPr>
      <w:bookmarkStart w:id="42" w:name="_BILL_SECTION_HEADER__7a262ddf_2053_43cc"/>
      <w:bookmarkStart w:id="43" w:name="_PAR__12_dffea2c3_9341_40ea_ba07_c1b1a79"/>
      <w:bookmarkStart w:id="44" w:name="_BILL_SECTION__3a6a4217_df8f_42b1_ad13_5"/>
      <w:bookmarkEnd w:id="36"/>
      <w:bookmarkEnd w:id="39"/>
      <w:bookmarkEnd w:id="40"/>
      <w:r>
        <w:rPr>
          <w:rFonts w:ascii="Arial" w:eastAsia="Arial" w:hAnsi="Arial" w:cs="Arial"/>
          <w:b/>
          <w:sz w:val="24"/>
        </w:rPr>
        <w:t xml:space="preserve">Sec. </w:t>
      </w:r>
      <w:bookmarkStart w:id="45" w:name="_BILL_SECTION_NUMBER__255278ec_8bb3_4c18"/>
      <w:r>
        <w:rPr>
          <w:rFonts w:ascii="Arial" w:eastAsia="Arial" w:hAnsi="Arial" w:cs="Arial"/>
          <w:b/>
          <w:sz w:val="24"/>
        </w:rPr>
        <w:t>5</w:t>
      </w:r>
      <w:bookmarkEnd w:id="45"/>
      <w:r>
        <w:rPr>
          <w:rFonts w:ascii="Arial" w:eastAsia="Arial" w:hAnsi="Arial" w:cs="Arial"/>
          <w:b/>
          <w:sz w:val="24"/>
        </w:rPr>
        <w:t>.  4 MRSA §164, sub-§19</w:t>
      </w:r>
      <w:r>
        <w:rPr>
          <w:rFonts w:ascii="Arial" w:eastAsia="Arial" w:hAnsi="Arial" w:cs="Arial"/>
        </w:rPr>
        <w:t xml:space="preserve"> is enacted to read:</w:t>
      </w:r>
    </w:p>
    <w:p w:rsidR="00DC1D2A" w:rsidP="00DC1D2A">
      <w:pPr>
        <w:ind w:left="360" w:firstLine="360"/>
        <w:rPr>
          <w:rFonts w:ascii="Arial" w:eastAsia="Arial" w:hAnsi="Arial" w:cs="Arial"/>
        </w:rPr>
      </w:pPr>
      <w:bookmarkStart w:id="46" w:name="_STATUTE_NUMBER__fdc5e1d2_a84a_4748_9c2d"/>
      <w:bookmarkStart w:id="47" w:name="_STATUTE_SS__c2c788a0_4597_485e_b7c7_18e"/>
      <w:bookmarkStart w:id="48" w:name="_PAR__13_6e224441_dc95_4451_a294_a1a8e1c"/>
      <w:bookmarkEnd w:id="42"/>
      <w:bookmarkEnd w:id="43"/>
      <w:r>
        <w:rPr>
          <w:rFonts w:ascii="Arial" w:eastAsia="Arial" w:hAnsi="Arial" w:cs="Arial"/>
          <w:b/>
          <w:u w:val="single"/>
        </w:rPr>
        <w:t>19</w:t>
      </w:r>
      <w:bookmarkEnd w:id="46"/>
      <w:r>
        <w:rPr>
          <w:rFonts w:ascii="Arial" w:eastAsia="Arial" w:hAnsi="Arial" w:cs="Arial"/>
          <w:b/>
          <w:u w:val="single"/>
        </w:rPr>
        <w:t xml:space="preserve">.  </w:t>
      </w:r>
      <w:bookmarkStart w:id="49" w:name="_STATUTE_HEADNOTE__46279fe8_db07_44b6_83"/>
      <w:r>
        <w:rPr>
          <w:rFonts w:ascii="Arial" w:eastAsia="Arial" w:hAnsi="Arial" w:cs="Arial"/>
          <w:b/>
          <w:u w:val="single"/>
        </w:rPr>
        <w:t xml:space="preserve">Annual training; domestic violence and child abuse issues. </w:t>
      </w:r>
      <w:r>
        <w:rPr>
          <w:rFonts w:ascii="Arial" w:eastAsia="Arial" w:hAnsi="Arial" w:cs="Arial"/>
          <w:u w:val="single"/>
        </w:rPr>
        <w:t xml:space="preserve"> </w:t>
      </w:r>
      <w:bookmarkStart w:id="50" w:name="_STATUTE_CONTENT__d7f75d39_27b2_437d_b33"/>
      <w:bookmarkEnd w:id="49"/>
      <w:r>
        <w:rPr>
          <w:rFonts w:ascii="Arial" w:eastAsia="Arial" w:hAnsi="Arial" w:cs="Arial"/>
          <w:u w:val="single"/>
        </w:rPr>
        <w:t>Establish</w:t>
      </w:r>
      <w:r>
        <w:rPr>
          <w:rFonts w:ascii="Arial" w:eastAsia="Arial" w:hAnsi="Arial" w:cs="Arial"/>
          <w:u w:val="single"/>
        </w:rPr>
        <w:t xml:space="preserve"> annual training and education designed to inform District Court </w:t>
      </w:r>
      <w:r>
        <w:rPr>
          <w:rFonts w:ascii="Arial" w:eastAsia="Arial" w:hAnsi="Arial" w:cs="Arial"/>
          <w:u w:val="single"/>
        </w:rPr>
        <w:t>J</w:t>
      </w:r>
      <w:r>
        <w:rPr>
          <w:rFonts w:ascii="Arial" w:eastAsia="Arial" w:hAnsi="Arial" w:cs="Arial"/>
          <w:u w:val="single"/>
        </w:rPr>
        <w:t>udges on domestic violence and child abuse, neglect and maltreatment issues.</w:t>
      </w:r>
    </w:p>
    <w:p w:rsidR="00DC1D2A" w:rsidP="00DC1D2A">
      <w:pPr>
        <w:ind w:left="360" w:firstLine="360"/>
        <w:rPr>
          <w:rFonts w:ascii="Arial" w:eastAsia="Arial" w:hAnsi="Arial" w:cs="Arial"/>
        </w:rPr>
      </w:pPr>
      <w:bookmarkStart w:id="51" w:name="_BILL_SECTION_HEADER__3edcc7f2_9984_4c19"/>
      <w:bookmarkStart w:id="52" w:name="_BILL_SECTION__a6721185_d8b4_4a45_85d8_9"/>
      <w:bookmarkEnd w:id="44"/>
      <w:bookmarkEnd w:id="47"/>
      <w:bookmarkEnd w:id="48"/>
      <w:bookmarkEnd w:id="50"/>
      <w:r>
        <w:rPr>
          <w:rFonts w:ascii="Arial" w:eastAsia="Arial" w:hAnsi="Arial" w:cs="Arial"/>
          <w:b/>
          <w:sz w:val="24"/>
        </w:rPr>
        <w:t xml:space="preserve">Sec. </w:t>
      </w:r>
      <w:bookmarkStart w:id="53" w:name="_BILL_SECTION_NUMBER__9736add1_6b3d_41a2"/>
      <w:r>
        <w:rPr>
          <w:rFonts w:ascii="Arial" w:eastAsia="Arial" w:hAnsi="Arial" w:cs="Arial"/>
          <w:b/>
          <w:sz w:val="24"/>
        </w:rPr>
        <w:t>6</w:t>
      </w:r>
      <w:bookmarkEnd w:id="53"/>
      <w:r>
        <w:rPr>
          <w:rFonts w:ascii="Arial" w:eastAsia="Arial" w:hAnsi="Arial" w:cs="Arial"/>
          <w:b/>
          <w:sz w:val="24"/>
        </w:rPr>
        <w:t>.  4 MRSA §183, sub-§1, ¶D,</w:t>
      </w:r>
      <w:r>
        <w:rPr>
          <w:rFonts w:ascii="Arial" w:eastAsia="Arial" w:hAnsi="Arial" w:cs="Arial"/>
        </w:rPr>
        <w:t xml:space="preserve"> </w:t>
      </w:r>
      <w:r w:rsidRPr="009C3038">
        <w:rPr>
          <w:rFonts w:ascii="Arial" w:eastAsia="Arial" w:hAnsi="Arial" w:cs="Arial"/>
        </w:rPr>
        <w:t>as amended by PL 2015, c. 296, Pt. C, §1 and affected by Pt. D, §1, is further amended by amending subparagraph (2) to read:</w:t>
      </w:r>
    </w:p>
    <w:p w:rsidR="00DC1D2A" w:rsidP="00DC1D2A">
      <w:pPr>
        <w:ind w:left="1080"/>
        <w:rPr>
          <w:rFonts w:ascii="Arial" w:eastAsia="Arial" w:hAnsi="Arial" w:cs="Arial"/>
        </w:rPr>
      </w:pPr>
      <w:bookmarkStart w:id="54" w:name="_STATUTE_SP__90629d8d_a9b6_4a83_8a56_bc8"/>
      <w:bookmarkEnd w:id="51"/>
      <w:r>
        <w:rPr>
          <w:rFonts w:ascii="Arial" w:eastAsia="Arial" w:hAnsi="Arial" w:cs="Arial"/>
        </w:rPr>
        <w:t>(</w:t>
      </w:r>
      <w:bookmarkStart w:id="55" w:name="_STATUTE_NUMBER__12b43665_9a5b_4880_ab55"/>
      <w:r>
        <w:rPr>
          <w:rFonts w:ascii="Arial" w:eastAsia="Arial" w:hAnsi="Arial" w:cs="Arial"/>
        </w:rPr>
        <w:t>2</w:t>
      </w:r>
      <w:bookmarkEnd w:id="55"/>
      <w:r>
        <w:rPr>
          <w:rFonts w:ascii="Arial" w:eastAsia="Arial" w:hAnsi="Arial" w:cs="Arial"/>
        </w:rPr>
        <w:t xml:space="preserve">)  </w:t>
      </w:r>
      <w:bookmarkStart w:id="56" w:name="_STATUTE_CONTENT__b4a9db10_a136_4bc8_836"/>
      <w:r>
        <w:rPr>
          <w:rFonts w:ascii="Arial" w:eastAsia="Arial" w:hAnsi="Arial" w:cs="Arial"/>
        </w:rPr>
        <w:t>Interim orders in actions involving divorce, legal separation, parentage or parental rights, including interim orders in postjudgment proceedings arising out of these actions</w:t>
      </w:r>
      <w:r>
        <w:rPr>
          <w:rFonts w:ascii="Arial" w:eastAsia="Arial" w:hAnsi="Arial" w:cs="Arial"/>
          <w:strike/>
        </w:rPr>
        <w:t>, except that a contested motion concerning interim parental rights and responsibilities, excluding interim child support orders, may be determined by the family law magistrate only if both parties consent to determination of the issue or issues in dispute by the family law magistrate</w:t>
      </w:r>
      <w:r>
        <w:rPr>
          <w:rFonts w:ascii="Arial" w:eastAsia="Arial" w:hAnsi="Arial" w:cs="Arial"/>
        </w:rPr>
        <w:t>;</w:t>
      </w:r>
      <w:bookmarkEnd w:id="56"/>
    </w:p>
    <w:p w:rsidR="00DC1D2A" w:rsidP="00DC1D2A">
      <w:pPr>
        <w:ind w:left="360" w:firstLine="360"/>
        <w:rPr>
          <w:rFonts w:ascii="Arial" w:eastAsia="Arial" w:hAnsi="Arial" w:cs="Arial"/>
        </w:rPr>
      </w:pPr>
      <w:bookmarkStart w:id="57" w:name="_BILL_SECTION__9fac5a78_5f8b_443c_bf5e_c"/>
      <w:bookmarkStart w:id="58" w:name="_BILL_SECTION_HEADER__25c95c49_ddf5_4f46"/>
      <w:bookmarkStart w:id="59" w:name="_PAR__6_b4109953_dd63_43a6_81d7_d9ad975f"/>
      <w:bookmarkEnd w:id="52"/>
      <w:bookmarkEnd w:id="54"/>
      <w:r>
        <w:rPr>
          <w:rFonts w:ascii="Arial" w:eastAsia="Arial" w:hAnsi="Arial" w:cs="Arial"/>
          <w:b/>
          <w:sz w:val="24"/>
        </w:rPr>
        <w:t xml:space="preserve">Sec. </w:t>
      </w:r>
      <w:bookmarkStart w:id="60" w:name="_BILL_SECTION_NUMBER__65ebaac2_a4a9_407f"/>
      <w:r>
        <w:rPr>
          <w:rFonts w:ascii="Arial" w:eastAsia="Arial" w:hAnsi="Arial" w:cs="Arial"/>
          <w:b/>
          <w:sz w:val="24"/>
        </w:rPr>
        <w:t>7</w:t>
      </w:r>
      <w:bookmarkEnd w:id="60"/>
      <w:r>
        <w:rPr>
          <w:rFonts w:ascii="Arial" w:eastAsia="Arial" w:hAnsi="Arial" w:cs="Arial"/>
          <w:b/>
          <w:sz w:val="24"/>
        </w:rPr>
        <w:t>.  4 MRSA §183, sub-§5</w:t>
      </w:r>
      <w:r>
        <w:rPr>
          <w:rFonts w:ascii="Arial" w:eastAsia="Arial" w:hAnsi="Arial" w:cs="Arial"/>
        </w:rPr>
        <w:t xml:space="preserve"> is enacted to read:</w:t>
      </w:r>
    </w:p>
    <w:p w:rsidR="00000000" w:rsidP="00DC1D2A">
      <w:pPr>
        <w:ind w:left="360" w:firstLine="360"/>
        <w:rPr>
          <w:rFonts w:ascii="Arial" w:eastAsia="Arial" w:hAnsi="Arial" w:cs="Arial"/>
        </w:rPr>
      </w:pPr>
      <w:bookmarkStart w:id="61" w:name="_STATUTE_NUMBER__e6213f3c_3418_4a3e_8351"/>
      <w:bookmarkStart w:id="62" w:name="_STATUTE_SS__013f8975_ecfd_45d8_bd0f_941"/>
      <w:bookmarkStart w:id="63" w:name="_PAR__7_63ea494d_546c_49c4_9117_1bec11fc"/>
      <w:bookmarkEnd w:id="58"/>
      <w:bookmarkEnd w:id="59"/>
      <w:r>
        <w:rPr>
          <w:rFonts w:ascii="Arial" w:eastAsia="Arial" w:hAnsi="Arial" w:cs="Arial"/>
          <w:b/>
          <w:u w:val="single"/>
        </w:rPr>
        <w:t>5</w:t>
      </w:r>
      <w:bookmarkEnd w:id="61"/>
      <w:r>
        <w:rPr>
          <w:rFonts w:ascii="Arial" w:eastAsia="Arial" w:hAnsi="Arial" w:cs="Arial"/>
          <w:b/>
          <w:u w:val="single"/>
        </w:rPr>
        <w:t xml:space="preserve">.  </w:t>
      </w:r>
      <w:bookmarkStart w:id="64" w:name="_STATUTE_HEADNOTE__6560064f_b50f_4ac4_b3"/>
      <w:r>
        <w:rPr>
          <w:rFonts w:ascii="Arial" w:eastAsia="Arial" w:hAnsi="Arial" w:cs="Arial"/>
          <w:b/>
          <w:u w:val="single"/>
        </w:rPr>
        <w:t xml:space="preserve">Annual training; domestic violence and child abuse issues. </w:t>
      </w:r>
      <w:r>
        <w:rPr>
          <w:rFonts w:ascii="Arial" w:eastAsia="Arial" w:hAnsi="Arial" w:cs="Arial"/>
          <w:u w:val="single"/>
        </w:rPr>
        <w:t xml:space="preserve"> </w:t>
      </w:r>
      <w:bookmarkStart w:id="65" w:name="_STATUTE_CONTENT__d6bec84d_fdca_4ba3_9d2"/>
      <w:bookmarkEnd w:id="64"/>
      <w:r>
        <w:rPr>
          <w:rFonts w:ascii="Arial" w:eastAsia="Arial" w:hAnsi="Arial" w:cs="Arial"/>
          <w:u w:val="single"/>
        </w:rPr>
        <w:t>The Chief Judge of the District Court shall establish annual training and education designed to inform family law magistrates on domestic violence and child abuse, neglect and maltreatment issues.</w:t>
      </w:r>
      <w:bookmarkEnd w:id="2"/>
      <w:bookmarkEnd w:id="6"/>
      <w:bookmarkEnd w:id="57"/>
      <w:bookmarkEnd w:id="62"/>
      <w:bookmarkEnd w:id="63"/>
      <w:bookmarkEnd w:id="6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LR2285,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the Child and Family Court Process</w:t>
    </w:r>
  </w:p>
  <w:p>
    <w:pPr>
      <w:suppressLineNumbers/>
      <w:spacing w:before="0" w:after="0"/>
      <w:jc w:val="center"/>
      <w:rPr>
        <w:rFonts w:ascii="Arial" w:eastAsia="Arial" w:hAnsi="Arial" w:cs="Arial"/>
      </w:rPr>
    </w:pPr>
    <w:r>
      <w:rPr>
        <w:rFonts w:ascii="Arial" w:eastAsia="Arial" w:hAnsi="Arial" w:cs="Arial"/>
        <w:sz w:val="22"/>
      </w:rPr>
      <w:t>L.D. 1831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C3038"/>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C1D2A"/>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