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the Reproductive Rights and Freedoms of Maine People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156 - L.D. 811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Protect the Reproductive Rights and Freedoms of Maine People</w:t>
      </w:r>
    </w:p>
    <w:p w:rsidR="001C6DAC" w:rsidP="001C6DAC">
      <w:pPr>
        <w:ind w:left="360"/>
        <w:rPr>
          <w:rFonts w:ascii="Arial" w:eastAsia="Arial" w:hAnsi="Arial" w:cs="Arial"/>
        </w:rPr>
      </w:pPr>
      <w:bookmarkStart w:id="0" w:name="_ENACTING_CLAUSE__479b729d_9177_43b3_822"/>
      <w:bookmarkStart w:id="1" w:name="_PAR__1_57647b41_83e7_4cd8_85a0_dae4cdb9"/>
      <w:bookmarkStart w:id="2" w:name="_DOC_BODY_CONTAINER__327749e9_a3be_4c6d_"/>
      <w:r>
        <w:rPr>
          <w:rFonts w:ascii="Arial" w:eastAsia="Arial" w:hAnsi="Arial" w:cs="Arial"/>
          <w:b/>
        </w:rPr>
        <w:t>Be it enacted by the People of the State of Maine as follows:</w:t>
      </w:r>
    </w:p>
    <w:p w:rsidR="001C6DAC" w:rsidP="001C6DAC">
      <w:pPr>
        <w:ind w:left="360" w:firstLine="360"/>
        <w:rPr>
          <w:rFonts w:ascii="Arial" w:eastAsia="Arial" w:hAnsi="Arial" w:cs="Arial"/>
        </w:rPr>
      </w:pPr>
      <w:bookmarkStart w:id="3" w:name="_BILL_SECTION_HEADER__0b30e52d_f950_4c9c"/>
      <w:bookmarkStart w:id="4" w:name="_BILL_SECTION__192bd487_0304_4604_b8e6_4"/>
      <w:bookmarkStart w:id="5" w:name="_INSTRUCTION__4d36ea14_35d4_4a32_8ae8_8d"/>
      <w:bookmarkStart w:id="6" w:name="_DOC_BODY_CONTENT__d9b31a98_fa0e_4a9f_b3"/>
      <w:bookmarkEnd w:id="0"/>
      <w:bookmarkEnd w:id="1"/>
      <w:r>
        <w:rPr>
          <w:rFonts w:ascii="Arial" w:eastAsia="Arial" w:hAnsi="Arial" w:cs="Arial"/>
          <w:b/>
          <w:sz w:val="24"/>
        </w:rPr>
        <w:t xml:space="preserve">Sec. </w:t>
      </w:r>
      <w:bookmarkStart w:id="7" w:name="_BILL_SECTION_NUMBER__814d50bd_a025_4240"/>
      <w:r>
        <w:rPr>
          <w:rFonts w:ascii="Arial" w:eastAsia="Arial" w:hAnsi="Arial" w:cs="Arial"/>
          <w:b/>
          <w:sz w:val="24"/>
        </w:rPr>
        <w:t>1</w:t>
      </w:r>
      <w:bookmarkEnd w:id="7"/>
      <w:r>
        <w:rPr>
          <w:rFonts w:ascii="Arial" w:eastAsia="Arial" w:hAnsi="Arial" w:cs="Arial"/>
          <w:b/>
          <w:sz w:val="24"/>
        </w:rPr>
        <w:t>.  22 MRSA §3174-III</w:t>
      </w:r>
      <w:r>
        <w:rPr>
          <w:rFonts w:ascii="Arial" w:eastAsia="Arial" w:hAnsi="Arial" w:cs="Arial"/>
        </w:rPr>
        <w:t xml:space="preserve"> is enacted to read:</w:t>
      </w:r>
    </w:p>
    <w:p w:rsidR="001C6DAC" w:rsidP="001C6DAC">
      <w:pPr>
        <w:ind w:left="1080" w:hanging="720"/>
        <w:rPr>
          <w:rFonts w:ascii="Arial" w:eastAsia="Arial" w:hAnsi="Arial" w:cs="Arial"/>
          <w:b/>
        </w:rPr>
      </w:pPr>
      <w:bookmarkStart w:id="8" w:name="_REV__55282737_cec9_40ef_b68f_67f6f3d5f0"/>
      <w:bookmarkStart w:id="9" w:name="_PROCESSED_CHANGE__02830560_9fa7_4f80_a3"/>
      <w:bookmarkStart w:id="10" w:name="_PROCESSED_CHANGE__82dc19f9_ad56_41eb_96"/>
      <w:bookmarkStart w:id="11" w:name="_PROCESSED_CHANGE__8ca69540_b054_45ed_a2"/>
      <w:bookmarkStart w:id="12" w:name="_STATUTE_S__1166c6ec_a1ee_4cbb_96ea_ddf5"/>
      <w:bookmarkStart w:id="13" w:name="_PROCESSED_CHANGE__06e12cc4_eb1c_4147_8f"/>
      <w:bookmarkStart w:id="14" w:name="_PROCESSED_CHANGE__248188f5_35eb_4764_93"/>
      <w:bookmarkStart w:id="15" w:name="_PROCESSED_CHANGE__1eccb0c9_f3c1_4db3_ad"/>
      <w:bookmarkEnd w:id="3"/>
      <w:r>
        <w:rPr>
          <w:rFonts w:ascii="Arial" w:eastAsia="Arial" w:hAnsi="Arial" w:cs="Arial"/>
          <w:b/>
          <w:u w:val="single"/>
        </w:rPr>
        <w:t>§</w:t>
      </w:r>
      <w:bookmarkStart w:id="16" w:name="_STATUTE_NUMBER__747d82ad_7372_4b18_a1c5"/>
      <w:r>
        <w:rPr>
          <w:rFonts w:ascii="Arial" w:eastAsia="Arial" w:hAnsi="Arial" w:cs="Arial"/>
          <w:b/>
          <w:u w:val="single"/>
        </w:rPr>
        <w:t>3174-III</w:t>
      </w:r>
      <w:bookmarkEnd w:id="16"/>
      <w:r>
        <w:rPr>
          <w:rFonts w:ascii="Arial" w:eastAsia="Arial" w:hAnsi="Arial" w:cs="Arial"/>
          <w:b/>
          <w:u w:val="single"/>
        </w:rPr>
        <w:t xml:space="preserve">.  </w:t>
      </w:r>
      <w:bookmarkStart w:id="17" w:name="_STATUTE_HEADNOTE__1252256c_3806_44e2_9c"/>
      <w:r>
        <w:rPr>
          <w:rFonts w:ascii="Arial" w:eastAsia="Arial" w:hAnsi="Arial" w:cs="Arial"/>
          <w:b/>
          <w:u w:val="single"/>
        </w:rPr>
        <w:t>Reimbursement for comprehensive sexual and reproductive health care services</w:t>
      </w:r>
      <w:bookmarkEnd w:id="17"/>
    </w:p>
    <w:p w:rsidR="001C6DAC" w:rsidP="001C6DAC">
      <w:pPr>
        <w:ind w:left="360" w:firstLine="360"/>
        <w:rPr>
          <w:rFonts w:ascii="Arial" w:eastAsia="Arial" w:hAnsi="Arial" w:cs="Arial"/>
        </w:rPr>
      </w:pPr>
      <w:bookmarkStart w:id="18" w:name="_STATUTE_P__051c6717_e498_4b0e_b23a_786c"/>
      <w:bookmarkStart w:id="19" w:name="_REV__0a6a9ec9_ed8f_48a1_abe6_701eb9e603"/>
      <w:bookmarkStart w:id="20" w:name="_STATUTE_CONTENT__58df0d79_e8f8_4797_903"/>
      <w:bookmarkEnd w:id="8"/>
      <w:r>
        <w:rPr>
          <w:rFonts w:ascii="Arial" w:eastAsia="Arial" w:hAnsi="Arial" w:cs="Arial"/>
          <w:u w:val="single"/>
        </w:rPr>
        <w:t>Notwithstanding any provision of law to the contrary, the department shall provide reimbursement for sexual and reproductive health care providers for activities and services to address the health of MaineCare members in accordance with this section.</w:t>
      </w:r>
    </w:p>
    <w:p w:rsidR="001C6DAC" w:rsidP="001C6DAC">
      <w:pPr>
        <w:ind w:left="360" w:firstLine="360"/>
        <w:rPr>
          <w:rFonts w:ascii="Arial" w:eastAsia="Arial" w:hAnsi="Arial" w:cs="Arial"/>
        </w:rPr>
      </w:pPr>
      <w:bookmarkStart w:id="21" w:name="_STATUTE_NUMBER__078d3026_04b3_4e2f_a54b"/>
      <w:bookmarkStart w:id="22" w:name="_STATUTE_SS__5490771c_5adc_45a0_aa26_b46"/>
      <w:bookmarkStart w:id="23" w:name="_REV__fab0dbdf_590f_4feb_91ee_3eaf96acba"/>
      <w:bookmarkEnd w:id="18"/>
      <w:bookmarkEnd w:id="19"/>
      <w:bookmarkEnd w:id="20"/>
      <w:r w:rsidRPr="00B8406C">
        <w:rPr>
          <w:rFonts w:ascii="Arial" w:eastAsia="Arial" w:hAnsi="Arial" w:cs="Arial"/>
          <w:b/>
          <w:u w:val="single"/>
        </w:rPr>
        <w:t>1</w:t>
      </w:r>
      <w:bookmarkEnd w:id="21"/>
      <w:r w:rsidRPr="00B8406C">
        <w:rPr>
          <w:rFonts w:ascii="Arial" w:eastAsia="Arial" w:hAnsi="Arial" w:cs="Arial"/>
          <w:b/>
          <w:u w:val="single"/>
        </w:rPr>
        <w:t xml:space="preserve">.  </w:t>
      </w:r>
      <w:bookmarkStart w:id="24" w:name="_STATUTE_HEADNOTE__4d02a85b_8b34_4182_b5"/>
      <w:r w:rsidRPr="00B8406C">
        <w:rPr>
          <w:rFonts w:ascii="Arial" w:eastAsia="Arial" w:hAnsi="Arial" w:cs="Arial"/>
          <w:b/>
          <w:u w:val="single"/>
        </w:rPr>
        <w:t>Definition.</w:t>
      </w:r>
      <w:r>
        <w:rPr>
          <w:rFonts w:ascii="Arial" w:eastAsia="Arial" w:hAnsi="Arial" w:cs="Arial"/>
          <w:u w:val="single"/>
        </w:rPr>
        <w:t xml:space="preserve">  </w:t>
      </w:r>
      <w:bookmarkStart w:id="25" w:name="_STATUTE_CONTENT__83c510ea_5f94_4668_bd2"/>
      <w:bookmarkEnd w:id="24"/>
      <w:r>
        <w:rPr>
          <w:rFonts w:ascii="Arial" w:eastAsia="Arial" w:hAnsi="Arial" w:cs="Arial"/>
          <w:u w:val="single"/>
        </w:rPr>
        <w:t>For purposes of this section, "sexual and reproductive health care provider" means an enrolled MaineCare provider engaged primarily in the delivery of services described in 42 United States Code, Section 1396d(a)(4)(C).</w:t>
      </w:r>
    </w:p>
    <w:p w:rsidR="001C6DAC" w:rsidP="001C6DAC">
      <w:pPr>
        <w:ind w:left="360" w:firstLine="360"/>
        <w:rPr>
          <w:rFonts w:ascii="Arial" w:eastAsia="Arial" w:hAnsi="Arial" w:cs="Arial"/>
        </w:rPr>
      </w:pPr>
      <w:bookmarkStart w:id="26" w:name="_STATUTE_NUMBER__ddaa176c_c442_4a98_9690"/>
      <w:bookmarkStart w:id="27" w:name="_STATUTE_SS__703ed042_cbff_45b9_8eba_02d"/>
      <w:bookmarkStart w:id="28" w:name="_REV__8513aa42_44c7_4260_aaff_a4aff7a7d7"/>
      <w:bookmarkEnd w:id="22"/>
      <w:bookmarkEnd w:id="23"/>
      <w:bookmarkEnd w:id="25"/>
      <w:r w:rsidRPr="00B8406C">
        <w:rPr>
          <w:rFonts w:ascii="Arial" w:eastAsia="Arial" w:hAnsi="Arial" w:cs="Arial"/>
          <w:b/>
          <w:u w:val="single"/>
        </w:rPr>
        <w:t>2</w:t>
      </w:r>
      <w:bookmarkEnd w:id="26"/>
      <w:r w:rsidRPr="00B8406C">
        <w:rPr>
          <w:rFonts w:ascii="Arial" w:eastAsia="Arial" w:hAnsi="Arial" w:cs="Arial"/>
          <w:b/>
          <w:u w:val="single"/>
        </w:rPr>
        <w:t xml:space="preserve">.  </w:t>
      </w:r>
      <w:bookmarkStart w:id="29" w:name="_STATUTE_HEADNOTE__11bd48a1_6044_4bf1_a3"/>
      <w:r w:rsidRPr="00B8406C">
        <w:rPr>
          <w:rFonts w:ascii="Arial" w:eastAsia="Arial" w:hAnsi="Arial" w:cs="Arial"/>
          <w:b/>
          <w:u w:val="single"/>
        </w:rPr>
        <w:t xml:space="preserve">Comprehensive </w:t>
      </w:r>
      <w:r>
        <w:rPr>
          <w:rFonts w:ascii="Arial" w:eastAsia="Arial" w:hAnsi="Arial" w:cs="Arial"/>
          <w:b/>
          <w:u w:val="single"/>
        </w:rPr>
        <w:t xml:space="preserve">sexual and reproductive health care </w:t>
      </w:r>
      <w:r w:rsidRPr="00B8406C">
        <w:rPr>
          <w:rFonts w:ascii="Arial" w:eastAsia="Arial" w:hAnsi="Arial" w:cs="Arial"/>
          <w:b/>
          <w:u w:val="single"/>
        </w:rPr>
        <w:t>services payment.</w:t>
      </w:r>
      <w:r>
        <w:rPr>
          <w:rFonts w:ascii="Arial" w:eastAsia="Arial" w:hAnsi="Arial" w:cs="Arial"/>
          <w:u w:val="single"/>
        </w:rPr>
        <w:t xml:space="preserve">  </w:t>
      </w:r>
      <w:bookmarkStart w:id="30" w:name="_STATUTE_CONTENT__7135c02a_60e0_4110_979"/>
      <w:bookmarkEnd w:id="29"/>
      <w:r>
        <w:rPr>
          <w:rFonts w:ascii="Arial" w:eastAsia="Arial" w:hAnsi="Arial" w:cs="Arial"/>
          <w:u w:val="single"/>
        </w:rPr>
        <w:t>The department shall determine and pay each sexual and reproductive health care provider an amount based on the total number of MaineCare-covered patient encounters per month, to include patient encounters taking place on or after July 1, 2022.  The payment must include compensation for the difference between the payment for services described in subsection 1 and 100% of the reasonable costs of operation, including without limitation the costs of all services.  In determining the payment, the department may exclude only those incremental operating costs directly attributable to specific items and services that federal law explicitly prohibits Medicaid programs from reimbursing.  The payment required by this subsection must be made for all encounters with a sexual and reproductive health care provider by any MaineCare member, regardless of the category or other basis for the member's eligibility for MaineCare coverage.</w:t>
      </w:r>
    </w:p>
    <w:p w:rsidR="001C6DAC" w:rsidP="001C6DAC">
      <w:pPr>
        <w:ind w:left="360" w:firstLine="360"/>
        <w:rPr>
          <w:rFonts w:ascii="Arial" w:eastAsia="Arial" w:hAnsi="Arial" w:cs="Arial"/>
        </w:rPr>
      </w:pPr>
      <w:bookmarkStart w:id="31" w:name="_STATUTE_NUMBER__a3e1f841_b230_4b6b_bd8c"/>
      <w:bookmarkStart w:id="32" w:name="_REV__3ab43b99_e175_43c1_892b_5cffb7bcb0"/>
      <w:bookmarkStart w:id="33" w:name="_STATUTE_SS__67156671_e725_47f9_a3fd_1a1"/>
      <w:bookmarkEnd w:id="27"/>
      <w:bookmarkEnd w:id="28"/>
      <w:bookmarkEnd w:id="30"/>
      <w:r w:rsidRPr="00B8406C">
        <w:rPr>
          <w:rFonts w:ascii="Arial" w:eastAsia="Arial" w:hAnsi="Arial" w:cs="Arial"/>
          <w:b/>
          <w:u w:val="single"/>
        </w:rPr>
        <w:t>3</w:t>
      </w:r>
      <w:bookmarkEnd w:id="31"/>
      <w:r w:rsidRPr="00B8406C">
        <w:rPr>
          <w:rFonts w:ascii="Arial" w:eastAsia="Arial" w:hAnsi="Arial" w:cs="Arial"/>
          <w:b/>
          <w:u w:val="single"/>
        </w:rPr>
        <w:t xml:space="preserve">.  </w:t>
      </w:r>
      <w:bookmarkStart w:id="34" w:name="_STATUTE_HEADNOTE__49cee00d_6c0d_4663_87"/>
      <w:r w:rsidRPr="00B8406C">
        <w:rPr>
          <w:rFonts w:ascii="Arial" w:eastAsia="Arial" w:hAnsi="Arial" w:cs="Arial"/>
          <w:b/>
          <w:u w:val="single"/>
        </w:rPr>
        <w:t>Rulemaking.</w:t>
      </w:r>
      <w:r>
        <w:rPr>
          <w:rFonts w:ascii="Arial" w:eastAsia="Arial" w:hAnsi="Arial" w:cs="Arial"/>
          <w:u w:val="single"/>
        </w:rPr>
        <w:t xml:space="preserve">  </w:t>
      </w:r>
      <w:bookmarkStart w:id="35" w:name="_STATUTE_CONTENT__7152bee6_1605_40b0_b30"/>
      <w:bookmarkEnd w:id="34"/>
      <w:r>
        <w:rPr>
          <w:rFonts w:ascii="Arial" w:eastAsia="Arial" w:hAnsi="Arial" w:cs="Arial"/>
          <w:u w:val="single"/>
        </w:rPr>
        <w:t xml:space="preserve">The department </w:t>
      </w:r>
      <w:r>
        <w:rPr>
          <w:rFonts w:ascii="Arial" w:eastAsia="Arial" w:hAnsi="Arial" w:cs="Arial"/>
          <w:u w:val="single"/>
        </w:rPr>
        <w:t>shall</w:t>
      </w:r>
      <w:r>
        <w:rPr>
          <w:rFonts w:ascii="Arial" w:eastAsia="Arial" w:hAnsi="Arial" w:cs="Arial"/>
          <w:u w:val="single"/>
        </w:rPr>
        <w:t xml:space="preserve"> adopt rules to implement this section. Rules adopted pursuant to this subsection are routine technical rules as defined in Title 5, chapter 375, subchapter 2</w:t>
      </w:r>
      <w:r>
        <w:rPr>
          <w:rFonts w:ascii="Arial" w:eastAsia="Arial" w:hAnsi="Arial" w:cs="Arial"/>
          <w:u w:val="single"/>
        </w:rPr>
        <w:noBreakHyphen/>
        <w:t>A.</w:t>
      </w:r>
    </w:p>
    <w:p w:rsidR="001C6DAC" w:rsidP="001C6DAC">
      <w:pPr>
        <w:ind w:left="360" w:firstLine="360"/>
        <w:rPr>
          <w:rFonts w:ascii="Arial" w:eastAsia="Arial" w:hAnsi="Arial" w:cs="Arial"/>
        </w:rPr>
      </w:pPr>
      <w:bookmarkStart w:id="36" w:name="_STATUTE_CONTENT__22237cfb_1763_4885_91b"/>
      <w:bookmarkStart w:id="37" w:name="_STATUTE_P__54b0a64e_8f30_4307_ad5b_f32f"/>
      <w:bookmarkStart w:id="38" w:name="_REV__d927902e_0bad_4f88_b76e_05cebd4c83"/>
      <w:bookmarkEnd w:id="9"/>
      <w:bookmarkEnd w:id="10"/>
      <w:bookmarkEnd w:id="11"/>
      <w:bookmarkEnd w:id="32"/>
      <w:bookmarkEnd w:id="33"/>
      <w:bookmarkEnd w:id="35"/>
      <w:r>
        <w:rPr>
          <w:rFonts w:ascii="Arial" w:eastAsia="Arial" w:hAnsi="Arial" w:cs="Arial"/>
          <w:u w:val="single"/>
        </w:rPr>
        <w:t>The d</w:t>
      </w:r>
      <w:r>
        <w:rPr>
          <w:rFonts w:ascii="Arial" w:eastAsia="Arial" w:hAnsi="Arial" w:cs="Arial"/>
          <w:u w:val="single"/>
        </w:rPr>
        <w:t>epartment shall pursue all opportunities to maximize available federal reimbursement, including available Medicaid match rates for or other opportunities to maximize state resources for family planning services.</w:t>
      </w:r>
    </w:p>
    <w:p w:rsidR="001C6DAC" w:rsidP="001C6DAC">
      <w:pPr>
        <w:ind w:left="360" w:firstLine="360"/>
        <w:rPr>
          <w:rFonts w:ascii="Arial" w:eastAsia="Arial" w:hAnsi="Arial" w:cs="Arial"/>
        </w:rPr>
      </w:pPr>
      <w:bookmarkStart w:id="39" w:name="_BILL_SECTION_UNALLOCATED__44394120_b5f3"/>
      <w:bookmarkEnd w:id="4"/>
      <w:bookmarkEnd w:id="12"/>
      <w:bookmarkEnd w:id="13"/>
      <w:bookmarkEnd w:id="14"/>
      <w:bookmarkEnd w:id="15"/>
      <w:bookmarkEnd w:id="36"/>
      <w:bookmarkEnd w:id="37"/>
      <w:bookmarkEnd w:id="38"/>
      <w:r>
        <w:rPr>
          <w:rFonts w:ascii="Arial" w:eastAsia="Arial" w:hAnsi="Arial" w:cs="Arial"/>
          <w:b/>
          <w:sz w:val="24"/>
        </w:rPr>
        <w:t xml:space="preserve">Sec. </w:t>
      </w:r>
      <w:bookmarkStart w:id="40" w:name="_BILL_SECTION_NUMBER__611d2622_eb14_4030"/>
      <w:r>
        <w:rPr>
          <w:rFonts w:ascii="Arial" w:eastAsia="Arial" w:hAnsi="Arial" w:cs="Arial"/>
          <w:b/>
          <w:sz w:val="24"/>
        </w:rPr>
        <w:t>2</w:t>
      </w:r>
      <w:bookmarkEnd w:id="40"/>
      <w:r>
        <w:rPr>
          <w:rFonts w:ascii="Arial" w:eastAsia="Arial" w:hAnsi="Arial" w:cs="Arial"/>
          <w:b/>
          <w:sz w:val="24"/>
        </w:rPr>
        <w:t>.</w:t>
      </w:r>
      <w:r>
        <w:rPr>
          <w:rFonts w:ascii="Arial" w:eastAsia="Arial" w:hAnsi="Arial" w:cs="Arial"/>
        </w:rPr>
        <w:t xml:space="preserve">  </w:t>
      </w:r>
      <w:r w:rsidRPr="009706FE">
        <w:rPr>
          <w:rFonts w:ascii="Arial" w:eastAsia="Arial" w:hAnsi="Arial" w:cs="Arial"/>
          <w:b/>
          <w:sz w:val="24"/>
          <w:szCs w:val="24"/>
        </w:rPr>
        <w:t>Rulemaking.</w:t>
      </w:r>
      <w:r w:rsidRPr="009706FE">
        <w:rPr>
          <w:rFonts w:ascii="Arial" w:eastAsia="Arial" w:hAnsi="Arial" w:cs="Arial"/>
        </w:rPr>
        <w:t xml:space="preserve">  The Department of Health and Human Services </w:t>
      </w:r>
      <w:r>
        <w:rPr>
          <w:rFonts w:ascii="Arial" w:eastAsia="Arial" w:hAnsi="Arial" w:cs="Arial"/>
        </w:rPr>
        <w:t>shall</w:t>
      </w:r>
      <w:r w:rsidRPr="009706FE">
        <w:rPr>
          <w:rFonts w:ascii="Arial" w:eastAsia="Arial" w:hAnsi="Arial" w:cs="Arial"/>
        </w:rPr>
        <w:t xml:space="preserve"> propose rules to implement the comprehensive </w:t>
      </w:r>
      <w:r>
        <w:rPr>
          <w:rFonts w:ascii="Arial" w:eastAsia="Arial" w:hAnsi="Arial" w:cs="Arial"/>
        </w:rPr>
        <w:t xml:space="preserve">sexual and reproductive health care </w:t>
      </w:r>
      <w:r w:rsidRPr="009706FE">
        <w:rPr>
          <w:rFonts w:ascii="Arial" w:eastAsia="Arial" w:hAnsi="Arial" w:cs="Arial"/>
        </w:rPr>
        <w:t xml:space="preserve">services payment required by the Maine </w:t>
      </w:r>
      <w:r>
        <w:rPr>
          <w:rFonts w:ascii="Arial" w:eastAsia="Arial" w:hAnsi="Arial" w:cs="Arial"/>
        </w:rPr>
        <w:t>R</w:t>
      </w:r>
      <w:r w:rsidRPr="009706FE">
        <w:rPr>
          <w:rFonts w:ascii="Arial" w:eastAsia="Arial" w:hAnsi="Arial" w:cs="Arial"/>
        </w:rPr>
        <w:t xml:space="preserve">evised Statutes, Title 22, section 3174-III, subsection </w:t>
      </w:r>
      <w:r>
        <w:rPr>
          <w:rFonts w:ascii="Arial" w:eastAsia="Arial" w:hAnsi="Arial" w:cs="Arial"/>
        </w:rPr>
        <w:t>2</w:t>
      </w:r>
      <w:r w:rsidRPr="009706FE">
        <w:rPr>
          <w:rFonts w:ascii="Arial" w:eastAsia="Arial" w:hAnsi="Arial" w:cs="Arial"/>
        </w:rPr>
        <w:t xml:space="preserve"> no later than October 1, 2022.  The final rule adopted following publication of the proposed rule required by this section must make the </w:t>
      </w:r>
      <w:r>
        <w:rPr>
          <w:rFonts w:ascii="Arial" w:eastAsia="Arial" w:hAnsi="Arial" w:cs="Arial"/>
        </w:rPr>
        <w:t>comprehensive services</w:t>
      </w:r>
      <w:r w:rsidRPr="009706FE">
        <w:rPr>
          <w:rFonts w:ascii="Arial" w:eastAsia="Arial" w:hAnsi="Arial" w:cs="Arial"/>
        </w:rPr>
        <w:t xml:space="preserve"> payment effective retroactively to July 1, 2022.</w:t>
      </w:r>
      <w:r>
        <w:rPr>
          <w:rFonts w:ascii="Arial" w:eastAsia="Arial" w:hAnsi="Arial" w:cs="Arial"/>
        </w:rPr>
        <w:t xml:space="preserve">  Rules adopted pursuant to this section are routine technical rules pursuant to Title 5, chapter 375, subchapter 2-A.</w:t>
      </w:r>
    </w:p>
    <w:p w:rsidR="001C6DAC" w:rsidP="001C6DAC">
      <w:pPr>
        <w:ind w:left="360" w:firstLine="360"/>
        <w:rPr>
          <w:rFonts w:ascii="Arial" w:eastAsia="Arial" w:hAnsi="Arial" w:cs="Arial"/>
        </w:rPr>
      </w:pPr>
      <w:bookmarkStart w:id="41" w:name="_INSTRUCTION__5d223777_6caa_4f2f_a9e3_ad"/>
      <w:bookmarkStart w:id="42" w:name="_APPROP_SECTION__654d55a8_27d5_4f64_ae75"/>
      <w:bookmarkEnd w:id="39"/>
      <w:r>
        <w:rPr>
          <w:rFonts w:ascii="Arial" w:eastAsia="Arial" w:hAnsi="Arial" w:cs="Arial"/>
          <w:b/>
          <w:sz w:val="24"/>
        </w:rPr>
        <w:t xml:space="preserve">Sec. </w:t>
      </w:r>
      <w:bookmarkStart w:id="43" w:name="_BILL_SECTION_NUMBER__47e4a355_e548_4422"/>
      <w:r>
        <w:rPr>
          <w:rFonts w:ascii="Arial" w:eastAsia="Arial" w:hAnsi="Arial" w:cs="Arial"/>
          <w:b/>
          <w:sz w:val="24"/>
        </w:rPr>
        <w:t>3</w:t>
      </w:r>
      <w:bookmarkEnd w:id="43"/>
      <w:r>
        <w:rPr>
          <w:rFonts w:ascii="Arial" w:eastAsia="Arial" w:hAnsi="Arial" w:cs="Arial"/>
          <w:b/>
          <w:sz w:val="24"/>
        </w:rPr>
        <w:t>.  Appropriations and allocations.</w:t>
      </w:r>
      <w:r>
        <w:rPr>
          <w:rFonts w:ascii="Arial" w:eastAsia="Arial" w:hAnsi="Arial" w:cs="Arial"/>
        </w:rPr>
        <w:t>  The following appropriations and allocations are made.</w:t>
      </w:r>
    </w:p>
    <w:p w:rsidR="001C6DAC" w:rsidP="001C6DAC">
      <w:pPr>
        <w:pStyle w:val="BPSParagraphLeftAlign"/>
        <w:suppressAutoHyphens/>
        <w:ind w:left="360"/>
        <w:rPr>
          <w:rFonts w:ascii="Arial" w:eastAsia="Arial" w:hAnsi="Arial" w:cs="Arial"/>
        </w:rPr>
      </w:pPr>
      <w:r>
        <w:rPr>
          <w:rFonts w:ascii="Arial" w:eastAsia="Arial" w:hAnsi="Arial" w:cs="Arial"/>
          <w:b/>
        </w:rPr>
        <w:t>HEALTH AND HUMAN SERVICES, DEPARTMENT OF</w:t>
      </w:r>
    </w:p>
    <w:p w:rsidR="001C6DAC" w:rsidP="001C6DAC">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1C6DAC" w:rsidP="001C6DAC">
      <w:pPr>
        <w:ind w:left="360"/>
        <w:rPr>
          <w:rFonts w:ascii="Arial" w:eastAsia="Arial" w:hAnsi="Arial" w:cs="Arial"/>
        </w:rPr>
      </w:pPr>
      <w:r>
        <w:rPr>
          <w:rFonts w:ascii="Arial" w:eastAsia="Arial" w:hAnsi="Arial" w:cs="Arial"/>
        </w:rPr>
        <w:t>Initiative: Provides funding for an additional payment to sexual and reproductive health care providers for each MaineCare-covered patient encounter.</w:t>
      </w:r>
    </w:p>
    <w:tbl>
      <w:tblPr>
        <w:tblStyle w:val="BPSTable"/>
        <w:tblW w:w="0" w:type="auto"/>
        <w:tblInd w:w="360" w:type="dxa"/>
        <w:tblCellMar>
          <w:left w:w="0" w:type="dxa"/>
          <w:right w:w="0" w:type="dxa"/>
        </w:tblCellMar>
        <w:tblLook w:val="04A0"/>
      </w:tblPr>
      <w:tblGrid>
        <w:gridCol w:w="5009"/>
        <w:gridCol w:w="1463"/>
        <w:gridCol w:w="1463"/>
      </w:tblGrid>
      <w:tr w:rsidTr="00BD59ED">
        <w:tblPrEx>
          <w:tblW w:w="0" w:type="auto"/>
          <w:tblInd w:w="360" w:type="dxa"/>
          <w:tblCellMar>
            <w:left w:w="0" w:type="dxa"/>
            <w:right w:w="0" w:type="dxa"/>
          </w:tblCellMar>
          <w:tblLook w:val="04A0"/>
        </w:tblPrEx>
        <w:tc>
          <w:tcPr>
            <w:tcW w:w="5069" w:type="dxa"/>
          </w:tcPr>
          <w:p w:rsidR="001C6DAC" w:rsidP="00BD59ED">
            <w:pPr>
              <w:rPr>
                <w:rFonts w:ascii="Arial" w:eastAsia="Arial" w:hAnsi="Arial" w:cs="Arial"/>
              </w:rPr>
            </w:pPr>
            <w:r>
              <w:rPr>
                <w:rFonts w:ascii="Arial" w:eastAsia="Arial" w:hAnsi="Arial" w:cs="Arial"/>
                <w:b/>
              </w:rPr>
              <w:t>GENERAL FUND</w:t>
            </w:r>
          </w:p>
        </w:tc>
        <w:tc>
          <w:tcPr>
            <w:tcW w:w="1469" w:type="dxa"/>
          </w:tcPr>
          <w:p w:rsidR="001C6DAC" w:rsidP="00BD59ED">
            <w:pPr>
              <w:jc w:val="right"/>
              <w:rPr>
                <w:rFonts w:ascii="Arial" w:eastAsia="Arial" w:hAnsi="Arial" w:cs="Arial"/>
              </w:rPr>
            </w:pPr>
            <w:r>
              <w:rPr>
                <w:rFonts w:ascii="Arial" w:eastAsia="Arial" w:hAnsi="Arial" w:cs="Arial"/>
                <w:b/>
              </w:rPr>
              <w:t>2021-22</w:t>
            </w:r>
          </w:p>
        </w:tc>
        <w:tc>
          <w:tcPr>
            <w:tcW w:w="1469" w:type="dxa"/>
          </w:tcPr>
          <w:p w:rsidR="001C6DAC" w:rsidP="00BD59ED">
            <w:pPr>
              <w:jc w:val="right"/>
              <w:rPr>
                <w:rFonts w:ascii="Arial" w:eastAsia="Arial" w:hAnsi="Arial" w:cs="Arial"/>
              </w:rPr>
            </w:pPr>
            <w:r>
              <w:rPr>
                <w:rFonts w:ascii="Arial" w:eastAsia="Arial" w:hAnsi="Arial" w:cs="Arial"/>
                <w:b/>
              </w:rPr>
              <w:t>2022-23</w:t>
            </w:r>
          </w:p>
        </w:tc>
      </w:tr>
      <w:tr w:rsidTr="00BD59ED">
        <w:tblPrEx>
          <w:tblW w:w="0" w:type="auto"/>
          <w:tblInd w:w="360" w:type="dxa"/>
          <w:tblCellMar>
            <w:left w:w="0" w:type="dxa"/>
            <w:right w:w="0" w:type="dxa"/>
          </w:tblCellMar>
          <w:tblLook w:val="04A0"/>
        </w:tblPrEx>
        <w:tc>
          <w:tcPr>
            <w:tcW w:w="5069" w:type="dxa"/>
          </w:tcPr>
          <w:p w:rsidR="001C6DAC" w:rsidP="00BD59ED">
            <w:pPr>
              <w:ind w:left="180"/>
              <w:rPr>
                <w:rFonts w:ascii="Arial" w:eastAsia="Arial" w:hAnsi="Arial" w:cs="Arial"/>
              </w:rPr>
            </w:pPr>
            <w:r>
              <w:rPr>
                <w:rFonts w:ascii="Arial" w:eastAsia="Arial" w:hAnsi="Arial" w:cs="Arial"/>
              </w:rPr>
              <w:t>All Other</w:t>
            </w:r>
          </w:p>
        </w:tc>
        <w:tc>
          <w:tcPr>
            <w:tcW w:w="1469" w:type="dxa"/>
          </w:tcPr>
          <w:p w:rsidR="001C6DAC" w:rsidP="00BD59ED">
            <w:pPr>
              <w:jc w:val="right"/>
              <w:rPr>
                <w:rFonts w:ascii="Arial" w:eastAsia="Arial" w:hAnsi="Arial" w:cs="Arial"/>
              </w:rPr>
            </w:pPr>
            <w:r>
              <w:rPr>
                <w:rFonts w:ascii="Arial" w:eastAsia="Arial" w:hAnsi="Arial" w:cs="Arial"/>
              </w:rPr>
              <w:t>$0</w:t>
            </w:r>
          </w:p>
        </w:tc>
        <w:tc>
          <w:tcPr>
            <w:tcW w:w="1469" w:type="dxa"/>
          </w:tcPr>
          <w:p w:rsidR="001C6DAC" w:rsidP="00BD59ED">
            <w:pPr>
              <w:jc w:val="right"/>
              <w:rPr>
                <w:rFonts w:ascii="Arial" w:eastAsia="Arial" w:hAnsi="Arial" w:cs="Arial"/>
              </w:rPr>
            </w:pPr>
            <w:r>
              <w:rPr>
                <w:rFonts w:ascii="Arial" w:eastAsia="Arial" w:hAnsi="Arial" w:cs="Arial"/>
              </w:rPr>
              <w:t>$239,821</w:t>
            </w:r>
          </w:p>
        </w:tc>
      </w:tr>
      <w:tr w:rsidTr="00BD59ED">
        <w:tblPrEx>
          <w:tblW w:w="0" w:type="auto"/>
          <w:tblInd w:w="360" w:type="dxa"/>
          <w:tblCellMar>
            <w:left w:w="0" w:type="dxa"/>
            <w:right w:w="0" w:type="dxa"/>
          </w:tblCellMar>
          <w:tblLook w:val="04A0"/>
        </w:tblPrEx>
        <w:tc>
          <w:tcPr>
            <w:tcW w:w="5069" w:type="dxa"/>
          </w:tcPr>
          <w:p w:rsidR="001C6DAC" w:rsidP="00BD59ED">
            <w:pPr>
              <w:rPr>
                <w:rFonts w:ascii="Arial" w:eastAsia="Arial" w:hAnsi="Arial" w:cs="Arial"/>
              </w:rPr>
            </w:pPr>
            <w:r>
              <w:rPr>
                <w:rFonts w:ascii="Arial" w:eastAsia="Arial" w:hAnsi="Arial" w:cs="Arial"/>
              </w:rPr>
              <w:t xml:space="preserve"> </w:t>
            </w:r>
          </w:p>
        </w:tc>
        <w:tc>
          <w:tcPr>
            <w:tcW w:w="1469" w:type="dxa"/>
          </w:tcPr>
          <w:p w:rsidR="001C6DAC" w:rsidP="00BD59ED">
            <w:pPr>
              <w:jc w:val="right"/>
              <w:rPr>
                <w:rFonts w:ascii="Arial" w:eastAsia="Arial" w:hAnsi="Arial" w:cs="Arial"/>
              </w:rPr>
            </w:pPr>
            <w:r>
              <w:rPr>
                <w:rFonts w:ascii="Arial" w:eastAsia="Arial" w:hAnsi="Arial" w:cs="Arial"/>
              </w:rPr>
              <w:t>__________</w:t>
            </w:r>
          </w:p>
        </w:tc>
        <w:tc>
          <w:tcPr>
            <w:tcW w:w="1469" w:type="dxa"/>
          </w:tcPr>
          <w:p w:rsidR="001C6DAC" w:rsidP="00BD59ED">
            <w:pPr>
              <w:jc w:val="right"/>
              <w:rPr>
                <w:rFonts w:ascii="Arial" w:eastAsia="Arial" w:hAnsi="Arial" w:cs="Arial"/>
              </w:rPr>
            </w:pPr>
            <w:r>
              <w:rPr>
                <w:rFonts w:ascii="Arial" w:eastAsia="Arial" w:hAnsi="Arial" w:cs="Arial"/>
              </w:rPr>
              <w:t>__________</w:t>
            </w:r>
          </w:p>
        </w:tc>
      </w:tr>
      <w:tr w:rsidTr="00BD59ED">
        <w:tblPrEx>
          <w:tblW w:w="0" w:type="auto"/>
          <w:tblInd w:w="360" w:type="dxa"/>
          <w:tblCellMar>
            <w:left w:w="0" w:type="dxa"/>
            <w:right w:w="0" w:type="dxa"/>
          </w:tblCellMar>
          <w:tblLook w:val="04A0"/>
        </w:tblPrEx>
        <w:tc>
          <w:tcPr>
            <w:tcW w:w="5069" w:type="dxa"/>
          </w:tcPr>
          <w:p w:rsidR="001C6DAC" w:rsidP="00BD59ED">
            <w:pPr>
              <w:rPr>
                <w:rFonts w:ascii="Arial" w:eastAsia="Arial" w:hAnsi="Arial" w:cs="Arial"/>
              </w:rPr>
            </w:pPr>
            <w:r>
              <w:rPr>
                <w:rFonts w:ascii="Arial" w:eastAsia="Arial" w:hAnsi="Arial" w:cs="Arial"/>
              </w:rPr>
              <w:t>GENERAL FUND TOTAL</w:t>
            </w:r>
          </w:p>
        </w:tc>
        <w:tc>
          <w:tcPr>
            <w:tcW w:w="1469" w:type="dxa"/>
          </w:tcPr>
          <w:p w:rsidR="001C6DAC" w:rsidP="00BD59ED">
            <w:pPr>
              <w:jc w:val="right"/>
              <w:rPr>
                <w:rFonts w:ascii="Arial" w:eastAsia="Arial" w:hAnsi="Arial" w:cs="Arial"/>
              </w:rPr>
            </w:pPr>
            <w:r>
              <w:rPr>
                <w:rFonts w:ascii="Arial" w:eastAsia="Arial" w:hAnsi="Arial" w:cs="Arial"/>
              </w:rPr>
              <w:t>$0</w:t>
            </w:r>
          </w:p>
        </w:tc>
        <w:tc>
          <w:tcPr>
            <w:tcW w:w="1469" w:type="dxa"/>
          </w:tcPr>
          <w:p w:rsidR="001C6DAC" w:rsidP="00BD59ED">
            <w:pPr>
              <w:jc w:val="right"/>
              <w:rPr>
                <w:rFonts w:ascii="Arial" w:eastAsia="Arial" w:hAnsi="Arial" w:cs="Arial"/>
              </w:rPr>
            </w:pPr>
            <w:r>
              <w:rPr>
                <w:rFonts w:ascii="Arial" w:eastAsia="Arial" w:hAnsi="Arial" w:cs="Arial"/>
              </w:rPr>
              <w:t>$239,821</w:t>
            </w:r>
          </w:p>
        </w:tc>
      </w:tr>
    </w:tbl>
    <w:p w:rsidR="001C6DAC" w:rsidP="001C6DAC">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D59ED">
        <w:tblPrEx>
          <w:tblW w:w="0" w:type="auto"/>
          <w:tblInd w:w="360" w:type="dxa"/>
          <w:tblCellMar>
            <w:left w:w="0" w:type="dxa"/>
            <w:right w:w="0" w:type="dxa"/>
          </w:tblCellMar>
          <w:tblLook w:val="04A0"/>
        </w:tblPrEx>
        <w:tc>
          <w:tcPr>
            <w:tcW w:w="5069" w:type="dxa"/>
          </w:tcPr>
          <w:p w:rsidR="001C6DAC" w:rsidP="00BD59ED">
            <w:pPr>
              <w:rPr>
                <w:rFonts w:ascii="Arial" w:eastAsia="Arial" w:hAnsi="Arial" w:cs="Arial"/>
              </w:rPr>
            </w:pPr>
            <w:r>
              <w:rPr>
                <w:rFonts w:ascii="Arial" w:eastAsia="Arial" w:hAnsi="Arial" w:cs="Arial"/>
                <w:b/>
              </w:rPr>
              <w:t>FEDERAL EXPENDITURES FUND</w:t>
            </w:r>
          </w:p>
        </w:tc>
        <w:tc>
          <w:tcPr>
            <w:tcW w:w="1469" w:type="dxa"/>
          </w:tcPr>
          <w:p w:rsidR="001C6DAC" w:rsidP="00BD59ED">
            <w:pPr>
              <w:jc w:val="right"/>
              <w:rPr>
                <w:rFonts w:ascii="Arial" w:eastAsia="Arial" w:hAnsi="Arial" w:cs="Arial"/>
              </w:rPr>
            </w:pPr>
            <w:r>
              <w:rPr>
                <w:rFonts w:ascii="Arial" w:eastAsia="Arial" w:hAnsi="Arial" w:cs="Arial"/>
                <w:b/>
              </w:rPr>
              <w:t>2021-22</w:t>
            </w:r>
          </w:p>
        </w:tc>
        <w:tc>
          <w:tcPr>
            <w:tcW w:w="1469" w:type="dxa"/>
          </w:tcPr>
          <w:p w:rsidR="001C6DAC" w:rsidP="00BD59ED">
            <w:pPr>
              <w:jc w:val="right"/>
              <w:rPr>
                <w:rFonts w:ascii="Arial" w:eastAsia="Arial" w:hAnsi="Arial" w:cs="Arial"/>
              </w:rPr>
            </w:pPr>
            <w:r>
              <w:rPr>
                <w:rFonts w:ascii="Arial" w:eastAsia="Arial" w:hAnsi="Arial" w:cs="Arial"/>
                <w:b/>
              </w:rPr>
              <w:t>2022-23</w:t>
            </w:r>
          </w:p>
        </w:tc>
      </w:tr>
      <w:tr w:rsidTr="00BD59ED">
        <w:tblPrEx>
          <w:tblW w:w="0" w:type="auto"/>
          <w:tblInd w:w="360" w:type="dxa"/>
          <w:tblCellMar>
            <w:left w:w="0" w:type="dxa"/>
            <w:right w:w="0" w:type="dxa"/>
          </w:tblCellMar>
          <w:tblLook w:val="04A0"/>
        </w:tblPrEx>
        <w:tc>
          <w:tcPr>
            <w:tcW w:w="5069" w:type="dxa"/>
          </w:tcPr>
          <w:p w:rsidR="001C6DAC" w:rsidP="00BD59ED">
            <w:pPr>
              <w:ind w:left="180"/>
              <w:rPr>
                <w:rFonts w:ascii="Arial" w:eastAsia="Arial" w:hAnsi="Arial" w:cs="Arial"/>
              </w:rPr>
            </w:pPr>
            <w:r>
              <w:rPr>
                <w:rFonts w:ascii="Arial" w:eastAsia="Arial" w:hAnsi="Arial" w:cs="Arial"/>
              </w:rPr>
              <w:t>All Other</w:t>
            </w:r>
          </w:p>
        </w:tc>
        <w:tc>
          <w:tcPr>
            <w:tcW w:w="1469" w:type="dxa"/>
          </w:tcPr>
          <w:p w:rsidR="001C6DAC" w:rsidP="00BD59ED">
            <w:pPr>
              <w:jc w:val="right"/>
              <w:rPr>
                <w:rFonts w:ascii="Arial" w:eastAsia="Arial" w:hAnsi="Arial" w:cs="Arial"/>
              </w:rPr>
            </w:pPr>
            <w:r>
              <w:rPr>
                <w:rFonts w:ascii="Arial" w:eastAsia="Arial" w:hAnsi="Arial" w:cs="Arial"/>
              </w:rPr>
              <w:t>$0</w:t>
            </w:r>
          </w:p>
        </w:tc>
        <w:tc>
          <w:tcPr>
            <w:tcW w:w="1469" w:type="dxa"/>
          </w:tcPr>
          <w:p w:rsidR="001C6DAC" w:rsidP="00BD59ED">
            <w:pPr>
              <w:jc w:val="right"/>
              <w:rPr>
                <w:rFonts w:ascii="Arial" w:eastAsia="Arial" w:hAnsi="Arial" w:cs="Arial"/>
              </w:rPr>
            </w:pPr>
            <w:r>
              <w:rPr>
                <w:rFonts w:ascii="Arial" w:eastAsia="Arial" w:hAnsi="Arial" w:cs="Arial"/>
              </w:rPr>
              <w:t>$1,472,386</w:t>
            </w:r>
          </w:p>
        </w:tc>
      </w:tr>
      <w:tr w:rsidTr="00BD59ED">
        <w:tblPrEx>
          <w:tblW w:w="0" w:type="auto"/>
          <w:tblInd w:w="360" w:type="dxa"/>
          <w:tblCellMar>
            <w:left w:w="0" w:type="dxa"/>
            <w:right w:w="0" w:type="dxa"/>
          </w:tblCellMar>
          <w:tblLook w:val="04A0"/>
        </w:tblPrEx>
        <w:tc>
          <w:tcPr>
            <w:tcW w:w="5069" w:type="dxa"/>
          </w:tcPr>
          <w:p w:rsidR="001C6DAC" w:rsidP="00BD59ED">
            <w:pPr>
              <w:rPr>
                <w:rFonts w:ascii="Arial" w:eastAsia="Arial" w:hAnsi="Arial" w:cs="Arial"/>
              </w:rPr>
            </w:pPr>
            <w:r>
              <w:rPr>
                <w:rFonts w:ascii="Arial" w:eastAsia="Arial" w:hAnsi="Arial" w:cs="Arial"/>
              </w:rPr>
              <w:t xml:space="preserve"> </w:t>
            </w:r>
          </w:p>
        </w:tc>
        <w:tc>
          <w:tcPr>
            <w:tcW w:w="1469" w:type="dxa"/>
          </w:tcPr>
          <w:p w:rsidR="001C6DAC" w:rsidP="00BD59ED">
            <w:pPr>
              <w:jc w:val="right"/>
              <w:rPr>
                <w:rFonts w:ascii="Arial" w:eastAsia="Arial" w:hAnsi="Arial" w:cs="Arial"/>
              </w:rPr>
            </w:pPr>
            <w:r>
              <w:rPr>
                <w:rFonts w:ascii="Arial" w:eastAsia="Arial" w:hAnsi="Arial" w:cs="Arial"/>
              </w:rPr>
              <w:t>__________</w:t>
            </w:r>
          </w:p>
        </w:tc>
        <w:tc>
          <w:tcPr>
            <w:tcW w:w="1469" w:type="dxa"/>
          </w:tcPr>
          <w:p w:rsidR="001C6DAC" w:rsidP="00BD59ED">
            <w:pPr>
              <w:jc w:val="right"/>
              <w:rPr>
                <w:rFonts w:ascii="Arial" w:eastAsia="Arial" w:hAnsi="Arial" w:cs="Arial"/>
              </w:rPr>
            </w:pPr>
            <w:r>
              <w:rPr>
                <w:rFonts w:ascii="Arial" w:eastAsia="Arial" w:hAnsi="Arial" w:cs="Arial"/>
              </w:rPr>
              <w:t>__________</w:t>
            </w:r>
          </w:p>
        </w:tc>
      </w:tr>
      <w:tr w:rsidTr="00BD59ED">
        <w:tblPrEx>
          <w:tblW w:w="0" w:type="auto"/>
          <w:tblInd w:w="360" w:type="dxa"/>
          <w:tblCellMar>
            <w:left w:w="0" w:type="dxa"/>
            <w:right w:w="0" w:type="dxa"/>
          </w:tblCellMar>
          <w:tblLook w:val="04A0"/>
        </w:tblPrEx>
        <w:tc>
          <w:tcPr>
            <w:tcW w:w="5069" w:type="dxa"/>
          </w:tcPr>
          <w:p w:rsidR="001C6DAC" w:rsidP="00BD59ED">
            <w:pPr>
              <w:rPr>
                <w:rFonts w:ascii="Arial" w:eastAsia="Arial" w:hAnsi="Arial" w:cs="Arial"/>
              </w:rPr>
            </w:pPr>
            <w:r>
              <w:rPr>
                <w:rFonts w:ascii="Arial" w:eastAsia="Arial" w:hAnsi="Arial" w:cs="Arial"/>
              </w:rPr>
              <w:t>FEDERAL EXPENDITURES FUND TOTAL</w:t>
            </w:r>
          </w:p>
        </w:tc>
        <w:tc>
          <w:tcPr>
            <w:tcW w:w="1469" w:type="dxa"/>
          </w:tcPr>
          <w:p w:rsidR="001C6DAC" w:rsidP="00BD59ED">
            <w:pPr>
              <w:jc w:val="right"/>
              <w:rPr>
                <w:rFonts w:ascii="Arial" w:eastAsia="Arial" w:hAnsi="Arial" w:cs="Arial"/>
              </w:rPr>
            </w:pPr>
            <w:r>
              <w:rPr>
                <w:rFonts w:ascii="Arial" w:eastAsia="Arial" w:hAnsi="Arial" w:cs="Arial"/>
              </w:rPr>
              <w:t>$0</w:t>
            </w:r>
          </w:p>
        </w:tc>
        <w:tc>
          <w:tcPr>
            <w:tcW w:w="1469" w:type="dxa"/>
          </w:tcPr>
          <w:p w:rsidR="001C6DAC" w:rsidP="00BD59ED">
            <w:pPr>
              <w:jc w:val="right"/>
              <w:rPr>
                <w:rFonts w:ascii="Arial" w:eastAsia="Arial" w:hAnsi="Arial" w:cs="Arial"/>
              </w:rPr>
            </w:pPr>
            <w:r>
              <w:rPr>
                <w:rFonts w:ascii="Arial" w:eastAsia="Arial" w:hAnsi="Arial" w:cs="Arial"/>
              </w:rPr>
              <w:t>$1,472,386</w:t>
            </w:r>
          </w:p>
        </w:tc>
      </w:tr>
      <w:bookmarkEnd w:id="2"/>
      <w:bookmarkEnd w:id="5"/>
      <w:bookmarkEnd w:id="6"/>
      <w:bookmarkEnd w:id="41"/>
      <w:bookmarkEnd w:id="42"/>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LR1917,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Protect the Reproductive Rights and Freedoms of Maine People</w:t>
    </w:r>
  </w:p>
  <w:p>
    <w:pPr>
      <w:suppressLineNumbers/>
      <w:spacing w:before="0" w:after="0"/>
      <w:jc w:val="center"/>
      <w:rPr>
        <w:rFonts w:ascii="Arial" w:eastAsia="Arial" w:hAnsi="Arial" w:cs="Arial"/>
      </w:rPr>
    </w:pPr>
    <w:r>
      <w:rPr>
        <w:rFonts w:ascii="Arial" w:eastAsia="Arial" w:hAnsi="Arial" w:cs="Arial"/>
        <w:sz w:val="22"/>
      </w:rPr>
      <w:t>L.D. 811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C6DAC"/>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706FE"/>
    <w:rsid w:val="0099722B"/>
    <w:rsid w:val="009B3D4F"/>
    <w:rsid w:val="009D6A0B"/>
    <w:rsid w:val="009E724F"/>
    <w:rsid w:val="009F6C9E"/>
    <w:rsid w:val="00A81643"/>
    <w:rsid w:val="00AA73FC"/>
    <w:rsid w:val="00B4353D"/>
    <w:rsid w:val="00B45FFB"/>
    <w:rsid w:val="00B5130C"/>
    <w:rsid w:val="00B8406C"/>
    <w:rsid w:val="00B97FEC"/>
    <w:rsid w:val="00BC0528"/>
    <w:rsid w:val="00BC3B30"/>
    <w:rsid w:val="00BD59ED"/>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