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the Maine Fire Protection Services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103 - L.D. 242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the Maine Fire Protection Services Commission</w:t>
      </w:r>
    </w:p>
    <w:p w:rsidR="003257B4" w:rsidP="003257B4">
      <w:pPr>
        <w:ind w:left="360"/>
        <w:rPr>
          <w:rFonts w:ascii="Arial" w:eastAsia="Arial" w:hAnsi="Arial" w:cs="Arial"/>
        </w:rPr>
      </w:pPr>
      <w:bookmarkStart w:id="0" w:name="_ENACTING_CLAUSE__703a7cf0_0bc2_4a04_830"/>
      <w:bookmarkStart w:id="1" w:name="_PAR__1_d2ce1ac4_f37f_4212_b253_f294c66f"/>
      <w:bookmarkStart w:id="2" w:name="_DOC_BODY_CONTAINER__8d844eea_1d3a_4531_"/>
      <w:r>
        <w:rPr>
          <w:rFonts w:ascii="Arial" w:eastAsia="Arial" w:hAnsi="Arial" w:cs="Arial"/>
          <w:b/>
        </w:rPr>
        <w:t>Be it enacted by the People of the State of Maine as follows:</w:t>
      </w:r>
    </w:p>
    <w:p w:rsidR="003257B4" w:rsidP="003257B4">
      <w:pPr>
        <w:ind w:left="360" w:firstLine="360"/>
        <w:rPr>
          <w:rFonts w:ascii="Arial" w:eastAsia="Arial" w:hAnsi="Arial" w:cs="Arial"/>
        </w:rPr>
      </w:pPr>
      <w:bookmarkStart w:id="3" w:name="_APPROP_SECTION__40affc5e_58be_43bc_9d29"/>
      <w:bookmarkStart w:id="4" w:name="_INSTRUCTION__194231be_10d4_47d5_ad59_dc"/>
      <w:bookmarkStart w:id="5" w:name="_DOC_BODY_CONTENT__c44d1de5_df84_49ff_93"/>
      <w:bookmarkEnd w:id="0"/>
      <w:bookmarkEnd w:id="1"/>
      <w:r>
        <w:rPr>
          <w:rFonts w:ascii="Arial" w:eastAsia="Arial" w:hAnsi="Arial" w:cs="Arial"/>
          <w:b/>
          <w:sz w:val="24"/>
        </w:rPr>
        <w:t xml:space="preserve">Sec. </w:t>
      </w:r>
      <w:bookmarkStart w:id="6" w:name="_BILL_SECTION_NUMBER__a2597f8c_3440_4305"/>
      <w:r>
        <w:rPr>
          <w:rFonts w:ascii="Arial" w:eastAsia="Arial" w:hAnsi="Arial" w:cs="Arial"/>
          <w:b/>
          <w:sz w:val="24"/>
        </w:rPr>
        <w:t>1</w:t>
      </w:r>
      <w:bookmarkEnd w:id="6"/>
      <w:r>
        <w:rPr>
          <w:rFonts w:ascii="Arial" w:eastAsia="Arial" w:hAnsi="Arial" w:cs="Arial"/>
          <w:b/>
          <w:sz w:val="24"/>
        </w:rPr>
        <w:t>.  Appropriations and allocations.</w:t>
      </w:r>
      <w:r>
        <w:rPr>
          <w:rFonts w:ascii="Arial" w:eastAsia="Arial" w:hAnsi="Arial" w:cs="Arial"/>
        </w:rPr>
        <w:t>  The following appropriations and allocations are made.</w:t>
      </w:r>
    </w:p>
    <w:p w:rsidR="003257B4" w:rsidP="003257B4">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3257B4" w:rsidP="003257B4">
      <w:pPr>
        <w:pStyle w:val="BPSParagraphLeftAlign"/>
        <w:suppressAutoHyphens/>
        <w:ind w:left="360"/>
        <w:rPr>
          <w:rFonts w:ascii="Arial" w:eastAsia="Arial" w:hAnsi="Arial" w:cs="Arial"/>
        </w:rPr>
      </w:pPr>
      <w:r>
        <w:rPr>
          <w:rFonts w:ascii="Arial" w:eastAsia="Arial" w:hAnsi="Arial" w:cs="Arial"/>
          <w:b/>
        </w:rPr>
        <w:t>Live Fire Service Training Facilities Fund Z269</w:t>
      </w:r>
    </w:p>
    <w:p w:rsidR="003257B4" w:rsidP="003257B4">
      <w:pPr>
        <w:ind w:left="360"/>
        <w:rPr>
          <w:rFonts w:ascii="Arial" w:eastAsia="Arial" w:hAnsi="Arial" w:cs="Arial"/>
        </w:rPr>
      </w:pPr>
      <w:r>
        <w:rPr>
          <w:rFonts w:ascii="Arial" w:eastAsia="Arial" w:hAnsi="Arial" w:cs="Arial"/>
        </w:rPr>
        <w:t>Initiative: Provides one-time funds for the Maine Fire Service Institute for the construction and repair or replacement of regional live fire service training facilities in the State awarded through grants by the Maine Fire Protection Services Commission.</w:t>
      </w:r>
    </w:p>
    <w:tbl>
      <w:tblPr>
        <w:tblStyle w:val="BPSTable"/>
        <w:tblW w:w="0" w:type="auto"/>
        <w:tblInd w:w="360" w:type="dxa"/>
        <w:tblCellMar>
          <w:left w:w="0" w:type="dxa"/>
          <w:right w:w="0" w:type="dxa"/>
        </w:tblCellMar>
        <w:tblLook w:val="04A0"/>
      </w:tblPr>
      <w:tblGrid>
        <w:gridCol w:w="5009"/>
        <w:gridCol w:w="1463"/>
        <w:gridCol w:w="1463"/>
      </w:tblGrid>
      <w:tr w:rsidTr="001D4ABD">
        <w:tblPrEx>
          <w:tblW w:w="0" w:type="auto"/>
          <w:tblInd w:w="360" w:type="dxa"/>
          <w:tblCellMar>
            <w:left w:w="0" w:type="dxa"/>
            <w:right w:w="0" w:type="dxa"/>
          </w:tblCellMar>
          <w:tblLook w:val="04A0"/>
        </w:tblPrEx>
        <w:tc>
          <w:tcPr>
            <w:tcW w:w="5069" w:type="dxa"/>
          </w:tcPr>
          <w:p w:rsidR="003257B4" w:rsidP="001D4ABD">
            <w:pPr>
              <w:rPr>
                <w:rFonts w:ascii="Arial" w:eastAsia="Arial" w:hAnsi="Arial" w:cs="Arial"/>
              </w:rPr>
            </w:pPr>
            <w:r>
              <w:rPr>
                <w:rFonts w:ascii="Arial" w:eastAsia="Arial" w:hAnsi="Arial" w:cs="Arial"/>
                <w:b/>
              </w:rPr>
              <w:t>GENERAL FUND</w:t>
            </w:r>
          </w:p>
        </w:tc>
        <w:tc>
          <w:tcPr>
            <w:tcW w:w="1469" w:type="dxa"/>
          </w:tcPr>
          <w:p w:rsidR="003257B4" w:rsidP="001D4ABD">
            <w:pPr>
              <w:jc w:val="right"/>
              <w:rPr>
                <w:rFonts w:ascii="Arial" w:eastAsia="Arial" w:hAnsi="Arial" w:cs="Arial"/>
              </w:rPr>
            </w:pPr>
            <w:r>
              <w:rPr>
                <w:rFonts w:ascii="Arial" w:eastAsia="Arial" w:hAnsi="Arial" w:cs="Arial"/>
                <w:b/>
              </w:rPr>
              <w:t>2021-22</w:t>
            </w:r>
          </w:p>
        </w:tc>
        <w:tc>
          <w:tcPr>
            <w:tcW w:w="1469" w:type="dxa"/>
          </w:tcPr>
          <w:p w:rsidR="003257B4" w:rsidP="001D4ABD">
            <w:pPr>
              <w:jc w:val="right"/>
              <w:rPr>
                <w:rFonts w:ascii="Arial" w:eastAsia="Arial" w:hAnsi="Arial" w:cs="Arial"/>
              </w:rPr>
            </w:pPr>
            <w:r>
              <w:rPr>
                <w:rFonts w:ascii="Arial" w:eastAsia="Arial" w:hAnsi="Arial" w:cs="Arial"/>
                <w:b/>
              </w:rPr>
              <w:t>2022-23</w:t>
            </w:r>
          </w:p>
        </w:tc>
      </w:tr>
      <w:tr w:rsidTr="001D4ABD">
        <w:tblPrEx>
          <w:tblW w:w="0" w:type="auto"/>
          <w:tblInd w:w="360" w:type="dxa"/>
          <w:tblCellMar>
            <w:left w:w="0" w:type="dxa"/>
            <w:right w:w="0" w:type="dxa"/>
          </w:tblCellMar>
          <w:tblLook w:val="04A0"/>
        </w:tblPrEx>
        <w:tc>
          <w:tcPr>
            <w:tcW w:w="5069" w:type="dxa"/>
          </w:tcPr>
          <w:p w:rsidR="003257B4" w:rsidP="001D4ABD">
            <w:pPr>
              <w:ind w:left="180"/>
              <w:rPr>
                <w:rFonts w:ascii="Arial" w:eastAsia="Arial" w:hAnsi="Arial" w:cs="Arial"/>
              </w:rPr>
            </w:pPr>
            <w:r>
              <w:rPr>
                <w:rFonts w:ascii="Arial" w:eastAsia="Arial" w:hAnsi="Arial" w:cs="Arial"/>
              </w:rPr>
              <w:t>All Other</w:t>
            </w:r>
          </w:p>
        </w:tc>
        <w:tc>
          <w:tcPr>
            <w:tcW w:w="1469" w:type="dxa"/>
          </w:tcPr>
          <w:p w:rsidR="003257B4" w:rsidP="001D4ABD">
            <w:pPr>
              <w:jc w:val="right"/>
              <w:rPr>
                <w:rFonts w:ascii="Arial" w:eastAsia="Arial" w:hAnsi="Arial" w:cs="Arial"/>
              </w:rPr>
            </w:pPr>
            <w:r>
              <w:rPr>
                <w:rFonts w:ascii="Arial" w:eastAsia="Arial" w:hAnsi="Arial" w:cs="Arial"/>
              </w:rPr>
              <w:t>$250,000</w:t>
            </w:r>
          </w:p>
        </w:tc>
        <w:tc>
          <w:tcPr>
            <w:tcW w:w="1469" w:type="dxa"/>
          </w:tcPr>
          <w:p w:rsidR="003257B4" w:rsidP="001D4ABD">
            <w:pPr>
              <w:jc w:val="right"/>
              <w:rPr>
                <w:rFonts w:ascii="Arial" w:eastAsia="Arial" w:hAnsi="Arial" w:cs="Arial"/>
              </w:rPr>
            </w:pPr>
            <w:r>
              <w:rPr>
                <w:rFonts w:ascii="Arial" w:eastAsia="Arial" w:hAnsi="Arial" w:cs="Arial"/>
              </w:rPr>
              <w:t>$78,147</w:t>
            </w:r>
          </w:p>
        </w:tc>
      </w:tr>
      <w:tr w:rsidTr="001D4ABD">
        <w:tblPrEx>
          <w:tblW w:w="0" w:type="auto"/>
          <w:tblInd w:w="360" w:type="dxa"/>
          <w:tblCellMar>
            <w:left w:w="0" w:type="dxa"/>
            <w:right w:w="0" w:type="dxa"/>
          </w:tblCellMar>
          <w:tblLook w:val="04A0"/>
        </w:tblPrEx>
        <w:tc>
          <w:tcPr>
            <w:tcW w:w="5069" w:type="dxa"/>
          </w:tcPr>
          <w:p w:rsidR="003257B4" w:rsidP="001D4ABD">
            <w:pPr>
              <w:rPr>
                <w:rFonts w:ascii="Arial" w:eastAsia="Arial" w:hAnsi="Arial" w:cs="Arial"/>
              </w:rPr>
            </w:pPr>
            <w:r>
              <w:rPr>
                <w:rFonts w:ascii="Arial" w:eastAsia="Arial" w:hAnsi="Arial" w:cs="Arial"/>
              </w:rPr>
              <w:t xml:space="preserve"> </w:t>
            </w:r>
          </w:p>
        </w:tc>
        <w:tc>
          <w:tcPr>
            <w:tcW w:w="1469" w:type="dxa"/>
          </w:tcPr>
          <w:p w:rsidR="003257B4" w:rsidP="001D4ABD">
            <w:pPr>
              <w:jc w:val="right"/>
              <w:rPr>
                <w:rFonts w:ascii="Arial" w:eastAsia="Arial" w:hAnsi="Arial" w:cs="Arial"/>
              </w:rPr>
            </w:pPr>
            <w:r>
              <w:rPr>
                <w:rFonts w:ascii="Arial" w:eastAsia="Arial" w:hAnsi="Arial" w:cs="Arial"/>
              </w:rPr>
              <w:t>__________</w:t>
            </w:r>
          </w:p>
        </w:tc>
        <w:tc>
          <w:tcPr>
            <w:tcW w:w="1469" w:type="dxa"/>
          </w:tcPr>
          <w:p w:rsidR="003257B4" w:rsidP="001D4ABD">
            <w:pPr>
              <w:jc w:val="right"/>
              <w:rPr>
                <w:rFonts w:ascii="Arial" w:eastAsia="Arial" w:hAnsi="Arial" w:cs="Arial"/>
              </w:rPr>
            </w:pPr>
            <w:r>
              <w:rPr>
                <w:rFonts w:ascii="Arial" w:eastAsia="Arial" w:hAnsi="Arial" w:cs="Arial"/>
              </w:rPr>
              <w:t>__________</w:t>
            </w:r>
          </w:p>
        </w:tc>
      </w:tr>
      <w:tr w:rsidTr="001D4ABD">
        <w:tblPrEx>
          <w:tblW w:w="0" w:type="auto"/>
          <w:tblInd w:w="360" w:type="dxa"/>
          <w:tblCellMar>
            <w:left w:w="0" w:type="dxa"/>
            <w:right w:w="0" w:type="dxa"/>
          </w:tblCellMar>
          <w:tblLook w:val="04A0"/>
        </w:tblPrEx>
        <w:tc>
          <w:tcPr>
            <w:tcW w:w="5069" w:type="dxa"/>
          </w:tcPr>
          <w:p w:rsidR="003257B4" w:rsidP="001D4ABD">
            <w:pPr>
              <w:rPr>
                <w:rFonts w:ascii="Arial" w:eastAsia="Arial" w:hAnsi="Arial" w:cs="Arial"/>
              </w:rPr>
            </w:pPr>
            <w:r>
              <w:rPr>
                <w:rFonts w:ascii="Arial" w:eastAsia="Arial" w:hAnsi="Arial" w:cs="Arial"/>
              </w:rPr>
              <w:t>GENERAL FUND TOTAL</w:t>
            </w:r>
          </w:p>
        </w:tc>
        <w:tc>
          <w:tcPr>
            <w:tcW w:w="1469" w:type="dxa"/>
          </w:tcPr>
          <w:p w:rsidR="003257B4" w:rsidP="001D4ABD">
            <w:pPr>
              <w:jc w:val="right"/>
              <w:rPr>
                <w:rFonts w:ascii="Arial" w:eastAsia="Arial" w:hAnsi="Arial" w:cs="Arial"/>
              </w:rPr>
            </w:pPr>
            <w:r>
              <w:rPr>
                <w:rFonts w:ascii="Arial" w:eastAsia="Arial" w:hAnsi="Arial" w:cs="Arial"/>
              </w:rPr>
              <w:t>$250,000</w:t>
            </w:r>
          </w:p>
        </w:tc>
        <w:tc>
          <w:tcPr>
            <w:tcW w:w="1469" w:type="dxa"/>
          </w:tcPr>
          <w:p w:rsidR="003257B4" w:rsidP="001D4ABD">
            <w:pPr>
              <w:jc w:val="right"/>
              <w:rPr>
                <w:rFonts w:ascii="Arial" w:eastAsia="Arial" w:hAnsi="Arial" w:cs="Arial"/>
              </w:rPr>
            </w:pPr>
            <w:r>
              <w:rPr>
                <w:rFonts w:ascii="Arial" w:eastAsia="Arial" w:hAnsi="Arial" w:cs="Arial"/>
              </w:rPr>
              <w:t>$78,147</w:t>
            </w:r>
          </w:p>
        </w:tc>
      </w:tr>
      <w:bookmarkEnd w:id="2"/>
      <w:bookmarkEnd w:id="3"/>
      <w:bookmarkEnd w:id="4"/>
      <w:bookmarkEnd w:id="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LR0519,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the Maine Fire Protection Services Commission</w:t>
    </w:r>
  </w:p>
  <w:p>
    <w:pPr>
      <w:suppressLineNumbers/>
      <w:spacing w:before="0" w:after="0"/>
      <w:jc w:val="center"/>
      <w:rPr>
        <w:rFonts w:ascii="Arial" w:eastAsia="Arial" w:hAnsi="Arial" w:cs="Arial"/>
      </w:rPr>
    </w:pPr>
    <w:r>
      <w:rPr>
        <w:rFonts w:ascii="Arial" w:eastAsia="Arial" w:hAnsi="Arial" w:cs="Arial"/>
        <w:sz w:val="22"/>
      </w:rPr>
      <w:t>L.D. 242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4ABD"/>
    <w:rsid w:val="001E1D8B"/>
    <w:rsid w:val="00257B1E"/>
    <w:rsid w:val="002A3C2A"/>
    <w:rsid w:val="002A3D55"/>
    <w:rsid w:val="002D357F"/>
    <w:rsid w:val="003257B4"/>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