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Mold to the Implied Warranty and Covenant of Habitability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1288 - L.D. 1927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Add Mold to the Implied Warranty and Covenant of Habitability</w:t>
      </w:r>
    </w:p>
    <w:p w:rsidR="00973E1E" w:rsidP="00973E1E">
      <w:pPr>
        <w:ind w:left="360"/>
        <w:rPr>
          <w:rFonts w:ascii="Arial" w:eastAsia="Arial" w:hAnsi="Arial" w:cs="Arial"/>
        </w:rPr>
      </w:pPr>
      <w:bookmarkStart w:id="0" w:name="_ENACTING_CLAUSE__ab6d7434_e426_4b0f_a99"/>
      <w:bookmarkStart w:id="1" w:name="_PAR__1_b606140c_6463_4579_b4b0_4012d5fa"/>
      <w:bookmarkStart w:id="2" w:name="_DOC_BODY_CONTAINER__adc62755_2395_4eee_"/>
      <w:r>
        <w:rPr>
          <w:rFonts w:ascii="Arial" w:eastAsia="Arial" w:hAnsi="Arial" w:cs="Arial"/>
          <w:b/>
        </w:rPr>
        <w:t>Be it enacted by the People of the State of Maine as follows:</w:t>
      </w:r>
    </w:p>
    <w:p w:rsidR="00973E1E" w:rsidP="00973E1E">
      <w:pPr>
        <w:ind w:left="360" w:firstLine="360"/>
        <w:rPr>
          <w:rFonts w:ascii="Arial" w:eastAsia="Arial" w:hAnsi="Arial" w:cs="Arial"/>
        </w:rPr>
      </w:pPr>
      <w:bookmarkStart w:id="3" w:name="_BILL_SECTION_HEADER__d9e47ac3_059c_4c89"/>
      <w:bookmarkStart w:id="4" w:name="_BILL_SECTION__3024b81e_14f0_4e69_8923_5"/>
      <w:bookmarkStart w:id="5" w:name="_INSTRUCTION__2c4ef157_0476_4936_ac8f_e4"/>
      <w:bookmarkStart w:id="6" w:name="_DOC_BODY_CONTENT__03a44fd5_2c66_450e_b1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98051c4_a25d_430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14 MRSA §6021, sub-§1,</w:t>
      </w:r>
      <w:r>
        <w:rPr>
          <w:rFonts w:ascii="Arial" w:eastAsia="Arial" w:hAnsi="Arial" w:cs="Arial"/>
        </w:rPr>
        <w:t xml:space="preserve"> as enacted by PL 1977, c. 401, §4, is repealed and the following enacted in its place:</w:t>
      </w:r>
    </w:p>
    <w:p w:rsidR="00973E1E" w:rsidP="00973E1E">
      <w:pPr>
        <w:ind w:left="360" w:firstLine="360"/>
        <w:rPr>
          <w:rFonts w:ascii="Arial" w:eastAsia="Arial" w:hAnsi="Arial" w:cs="Arial"/>
        </w:rPr>
      </w:pPr>
      <w:bookmarkStart w:id="8" w:name="_STATUTE_NUMBER__6840baf2_cdb3_4da1_b5a8"/>
      <w:bookmarkStart w:id="9" w:name="_REV__fe1112da_1e38_4885_9bdd_f523b136ce"/>
      <w:bookmarkStart w:id="10" w:name="_STATUTE_SS__f5637afa_2622_4fc8_8ffc_709"/>
      <w:bookmarkStart w:id="11" w:name="_PROCESSED_CHANGE__102ddf8a_bac8_4b9e_ae"/>
      <w:bookmarkStart w:id="12" w:name="_PROCESSED_CHANGE__ae34d531_19d7_4749_99"/>
      <w:bookmarkStart w:id="13" w:name="_PROCESSED_CHANGE__ad5043f3_764b_45fa_95"/>
      <w:bookmarkStart w:id="14" w:name="_PROCESSED_CHANGE__b431276a_d124_488b_a7"/>
      <w:bookmarkStart w:id="15" w:name="_PROCESSED_CHANGE__e308ff65_e4d7_4e33_bd"/>
      <w:bookmarkEnd w:id="3"/>
      <w:r>
        <w:rPr>
          <w:rFonts w:ascii="Arial" w:eastAsia="Arial" w:hAnsi="Arial" w:cs="Arial"/>
          <w:b/>
          <w:u w:val="single"/>
        </w:rPr>
        <w:t>1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23f7a54e_3eff_4836_ba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5e6ad2a2_8683_4dbc_a33"/>
      <w:bookmarkEnd w:id="16"/>
      <w:r>
        <w:rPr>
          <w:rFonts w:ascii="Arial" w:eastAsia="Arial" w:hAnsi="Arial" w:cs="Arial"/>
          <w:u w:val="single"/>
        </w:rPr>
        <w:t>As used in this section, unless the context otherwise</w:t>
      </w:r>
      <w:r>
        <w:rPr>
          <w:rFonts w:ascii="Arial" w:eastAsia="Arial" w:hAnsi="Arial" w:cs="Arial"/>
          <w:u w:val="single"/>
        </w:rPr>
        <w:t xml:space="preserve"> indicates, the following terms have the following meanings</w:t>
      </w:r>
      <w:r>
        <w:rPr>
          <w:rFonts w:ascii="Arial" w:eastAsia="Arial" w:hAnsi="Arial" w:cs="Arial"/>
          <w:u w:val="single"/>
        </w:rPr>
        <w:t>.</w:t>
      </w:r>
    </w:p>
    <w:p w:rsidR="00973E1E" w:rsidP="00973E1E">
      <w:pPr>
        <w:ind w:left="720"/>
        <w:rPr>
          <w:rFonts w:ascii="Arial" w:eastAsia="Arial" w:hAnsi="Arial" w:cs="Arial"/>
        </w:rPr>
      </w:pPr>
      <w:bookmarkStart w:id="18" w:name="_STATUTE_NUMBER__6f59a088_a13c_4552_b1af"/>
      <w:bookmarkStart w:id="19" w:name="_STATUTE_P__6b51332e_41e3_4910_a805_9cd4"/>
      <w:bookmarkStart w:id="20" w:name="_REV__1b0763d4_1851_42d4_8744_b665a236ef"/>
      <w:bookmarkEnd w:id="9"/>
      <w:bookmarkEnd w:id="17"/>
      <w:r>
        <w:rPr>
          <w:rFonts w:ascii="Arial" w:eastAsia="Arial" w:hAnsi="Arial" w:cs="Arial"/>
          <w:u w:val="single"/>
        </w:rPr>
        <w:t>A</w:t>
      </w:r>
      <w:bookmarkEnd w:id="18"/>
      <w:r>
        <w:rPr>
          <w:rFonts w:ascii="Arial" w:eastAsia="Arial" w:hAnsi="Arial" w:cs="Arial"/>
          <w:u w:val="single"/>
        </w:rPr>
        <w:t xml:space="preserve">.  </w:t>
      </w:r>
      <w:bookmarkStart w:id="21" w:name="_STATUTE_CONTENT__6808ada0_c042_46e5_8fc"/>
      <w:r>
        <w:rPr>
          <w:rFonts w:ascii="Arial" w:eastAsia="Arial" w:hAnsi="Arial" w:cs="Arial"/>
          <w:u w:val="single"/>
        </w:rPr>
        <w:t>"Dwelling unit" 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mobile homes, apartments, buildings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other structures, including the common areas thereof,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are rented for human habitation.</w:t>
      </w:r>
    </w:p>
    <w:p w:rsidR="00973E1E" w:rsidP="00973E1E">
      <w:pPr>
        <w:ind w:left="720"/>
        <w:rPr>
          <w:rFonts w:ascii="Arial" w:eastAsia="Arial" w:hAnsi="Arial" w:cs="Arial"/>
        </w:rPr>
      </w:pPr>
      <w:bookmarkStart w:id="22" w:name="_STATUTE_NUMBER__89043bab_cbcf_48d4_b473"/>
      <w:bookmarkStart w:id="23" w:name="_STATUTE_P__db961d39_e78e_494c_b526_d804"/>
      <w:bookmarkStart w:id="24" w:name="_REV__9b9a6845_dc8b_4842_b6b6_6d8ddcc3e2"/>
      <w:bookmarkEnd w:id="19"/>
      <w:bookmarkEnd w:id="20"/>
      <w:bookmarkEnd w:id="21"/>
      <w:r>
        <w:rPr>
          <w:rFonts w:ascii="Arial" w:eastAsia="Arial" w:hAnsi="Arial" w:cs="Arial"/>
          <w:u w:val="single"/>
        </w:rPr>
        <w:t>B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5" w:name="_STATUTE_CONTENT__632f9539_eff4_42af_8a5"/>
      <w:r>
        <w:rPr>
          <w:rFonts w:ascii="Arial" w:eastAsia="Arial" w:hAnsi="Arial" w:cs="Arial"/>
          <w:u w:val="single"/>
        </w:rPr>
        <w:t>"Leaking event" means a water leak from flooding or a system or structural failure, such as a failure of a roof, window, door, plumbing system, foundation or appliance.</w:t>
      </w:r>
    </w:p>
    <w:p w:rsidR="00973E1E" w:rsidP="00973E1E">
      <w:pPr>
        <w:ind w:left="360" w:firstLine="360"/>
        <w:rPr>
          <w:rFonts w:ascii="Arial" w:eastAsia="Arial" w:hAnsi="Arial" w:cs="Arial"/>
        </w:rPr>
      </w:pPr>
      <w:bookmarkStart w:id="26" w:name="_BILL_SECTION_HEADER__abbbbc28_6306_4222"/>
      <w:bookmarkStart w:id="27" w:name="_BILL_SECTION__aad39f39_dc69_46bc_820b_3"/>
      <w:bookmarkEnd w:id="4"/>
      <w:bookmarkEnd w:id="10"/>
      <w:bookmarkEnd w:id="11"/>
      <w:bookmarkEnd w:id="12"/>
      <w:bookmarkEnd w:id="13"/>
      <w:bookmarkEnd w:id="14"/>
      <w:bookmarkEnd w:id="15"/>
      <w:bookmarkEnd w:id="23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49dc0a9e_5b5d_4c56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  14 MRSA §6021, sub-§6-B</w:t>
      </w:r>
      <w:r>
        <w:rPr>
          <w:rFonts w:ascii="Arial" w:eastAsia="Arial" w:hAnsi="Arial" w:cs="Arial"/>
        </w:rPr>
        <w:t xml:space="preserve"> is enacted to read:</w:t>
      </w:r>
    </w:p>
    <w:p w:rsidR="00973E1E" w:rsidP="00973E1E">
      <w:pPr>
        <w:ind w:left="360" w:firstLine="360"/>
        <w:rPr>
          <w:rFonts w:ascii="Arial" w:eastAsia="Arial" w:hAnsi="Arial" w:cs="Arial"/>
        </w:rPr>
      </w:pPr>
      <w:bookmarkStart w:id="29" w:name="_STATUTE_NUMBER__4fc333dc_94d8_496a_8865"/>
      <w:bookmarkStart w:id="30" w:name="_REV__ffaff1f7_a76d_4a9a_96ed_b4c23685be"/>
      <w:bookmarkStart w:id="31" w:name="_PROCESSED_CHANGE__6193f0f7_cd73_40b5_a5"/>
      <w:bookmarkStart w:id="32" w:name="_PROCESSED_CHANGE__6e1618dd_28e1_47ef_9c"/>
      <w:bookmarkStart w:id="33" w:name="_PROCESSED_CHANGE__7ce18bcf_177d_49fa_be"/>
      <w:bookmarkStart w:id="34" w:name="_PROCESSED_CHANGE__c5280f2d_2be6_4223_83"/>
      <w:bookmarkStart w:id="35" w:name="_PROCESSED_CHANGE__f2bdacad_7da1_4697_a2"/>
      <w:bookmarkStart w:id="36" w:name="_STATUTE_SS__ebd85e69_fd00_4951_ab77_767"/>
      <w:bookmarkEnd w:id="26"/>
      <w:r>
        <w:rPr>
          <w:rFonts w:ascii="Arial" w:eastAsia="Arial" w:hAnsi="Arial" w:cs="Arial"/>
          <w:b/>
          <w:u w:val="single"/>
        </w:rPr>
        <w:t>6-B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7fec8a66_742b_4791_b1"/>
      <w:r>
        <w:rPr>
          <w:rFonts w:ascii="Arial" w:eastAsia="Arial" w:hAnsi="Arial" w:cs="Arial"/>
          <w:b/>
          <w:u w:val="single"/>
        </w:rPr>
        <w:t>Mold</w:t>
      </w:r>
      <w:r>
        <w:rPr>
          <w:rFonts w:ascii="Arial" w:eastAsia="Arial" w:hAnsi="Arial" w:cs="Arial"/>
          <w:b/>
          <w:u w:val="single"/>
        </w:rPr>
        <w:t>; bacteria</w:t>
      </w:r>
      <w:r>
        <w:rPr>
          <w:rFonts w:ascii="Arial" w:eastAsia="Arial" w:hAnsi="Arial" w:cs="Arial"/>
          <w:b/>
          <w:u w:val="single"/>
        </w:rPr>
        <w:t xml:space="preserve">; other biological </w:t>
      </w:r>
      <w:r>
        <w:rPr>
          <w:rFonts w:ascii="Arial" w:eastAsia="Arial" w:hAnsi="Arial" w:cs="Arial"/>
          <w:b/>
          <w:u w:val="single"/>
        </w:rPr>
        <w:t>organism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be29f143_799e_4bbc_a8d"/>
      <w:bookmarkEnd w:id="37"/>
      <w:r>
        <w:rPr>
          <w:rFonts w:ascii="Arial" w:eastAsia="Arial" w:hAnsi="Arial" w:cs="Arial"/>
          <w:u w:val="single"/>
        </w:rPr>
        <w:t xml:space="preserve">It is a breach of the implied warranty of fitness for human habitation when a landlord offers for rent a dwelling unit </w:t>
      </w:r>
      <w:r>
        <w:rPr>
          <w:rFonts w:ascii="Arial" w:eastAsia="Arial" w:hAnsi="Arial" w:cs="Arial"/>
          <w:u w:val="single"/>
        </w:rPr>
        <w:t xml:space="preserve">in which there is a leaking event, chronic moisture or humidity conditions outside of the control of a tenant that result </w:t>
      </w:r>
      <w:r>
        <w:rPr>
          <w:rFonts w:ascii="Arial" w:eastAsia="Arial" w:hAnsi="Arial" w:cs="Arial"/>
          <w:u w:val="single"/>
        </w:rPr>
        <w:t xml:space="preserve">in the growth of mold, bacteria or other </w:t>
      </w:r>
      <w:r>
        <w:rPr>
          <w:rFonts w:ascii="Arial" w:eastAsia="Arial" w:hAnsi="Arial" w:cs="Arial"/>
          <w:u w:val="single"/>
        </w:rPr>
        <w:t>biological</w:t>
      </w:r>
      <w:r>
        <w:rPr>
          <w:rFonts w:ascii="Arial" w:eastAsia="Arial" w:hAnsi="Arial" w:cs="Arial"/>
          <w:u w:val="single"/>
        </w:rPr>
        <w:t xml:space="preserve"> organisms</w:t>
      </w:r>
      <w:r>
        <w:rPr>
          <w:rFonts w:ascii="Arial" w:eastAsia="Arial" w:hAnsi="Arial" w:cs="Arial"/>
          <w:u w:val="single"/>
        </w:rPr>
        <w:t>.</w:t>
      </w:r>
    </w:p>
    <w:p w:rsidR="00000000" w:rsidP="00973E1E">
      <w:pPr>
        <w:ind w:left="360"/>
        <w:rPr>
          <w:rFonts w:ascii="Arial" w:eastAsia="Arial" w:hAnsi="Arial" w:cs="Arial"/>
        </w:rPr>
      </w:pPr>
      <w:bookmarkStart w:id="39" w:name="_REV__a7034720_860c_4566_ad46_1252a4dff7"/>
      <w:bookmarkStart w:id="40" w:name="_STATUTE_CONTENT__f537a0d4_ba3d_4360_93f"/>
      <w:bookmarkStart w:id="41" w:name="_STATUTE_P__e869aaf4_0bc0_4ec5_8ca0_2c2b"/>
      <w:bookmarkEnd w:id="30"/>
      <w:bookmarkEnd w:id="3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</w:t>
      </w:r>
      <w:r>
        <w:rPr>
          <w:rFonts w:ascii="Arial" w:eastAsia="Arial" w:hAnsi="Arial" w:cs="Arial"/>
          <w:u w:val="single"/>
        </w:rPr>
        <w:t>unicipalit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adopt more stringent standards by ordinance </w:t>
      </w:r>
      <w:r>
        <w:rPr>
          <w:rFonts w:ascii="Arial" w:eastAsia="Arial" w:hAnsi="Arial" w:cs="Arial"/>
          <w:u w:val="single"/>
        </w:rPr>
        <w:t xml:space="preserve">than those </w:t>
      </w:r>
      <w:r>
        <w:rPr>
          <w:rFonts w:ascii="Arial" w:eastAsia="Arial" w:hAnsi="Arial" w:cs="Arial"/>
          <w:u w:val="single"/>
        </w:rPr>
        <w:t>provided in this section.</w:t>
      </w:r>
      <w:bookmarkEnd w:id="2"/>
      <w:bookmarkEnd w:id="5"/>
      <w:bookmarkEnd w:id="6"/>
      <w:bookmarkEnd w:id="27"/>
      <w:bookmarkEnd w:id="31"/>
      <w:bookmarkEnd w:id="32"/>
      <w:bookmarkEnd w:id="33"/>
      <w:bookmarkEnd w:id="34"/>
      <w:bookmarkEnd w:id="35"/>
      <w:bookmarkEnd w:id="36"/>
      <w:bookmarkEnd w:id="39"/>
      <w:bookmarkEnd w:id="40"/>
      <w:bookmarkEnd w:id="4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LR1868,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Mold to the Implied Warranty and Covenant of Habitability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3E1E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