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Reduce Dental Disease and Ensure Access to Essential Preventive Dental Care Among Maine Children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1164 - L.D. 1746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Reduce Dental Disease and Ensure Access to Essential Preventive Dental Care Among Maine Children</w:t>
      </w:r>
    </w:p>
    <w:p w:rsidR="003512C1" w:rsidP="003512C1">
      <w:pPr>
        <w:ind w:left="360"/>
        <w:rPr>
          <w:rFonts w:ascii="Arial" w:eastAsia="Arial" w:hAnsi="Arial" w:cs="Arial"/>
        </w:rPr>
      </w:pPr>
      <w:bookmarkStart w:id="0" w:name="_ENACTING_CLAUSE__baf993f1_27b7_4c54_9b5"/>
      <w:bookmarkStart w:id="1" w:name="_PAR__1_76ef1234_0140_4597_97ee_868f961c"/>
      <w:bookmarkStart w:id="2" w:name="_DOC_BODY_CONTAINER__731d0a64_0446_4a56_"/>
      <w:r>
        <w:rPr>
          <w:rFonts w:ascii="Arial" w:eastAsia="Arial" w:hAnsi="Arial" w:cs="Arial"/>
          <w:b/>
        </w:rPr>
        <w:t>Be it enacted by the People of the State of Maine as follows:</w:t>
      </w:r>
    </w:p>
    <w:p w:rsidR="003512C1" w:rsidP="003512C1">
      <w:pPr>
        <w:ind w:left="360" w:firstLine="360"/>
        <w:rPr>
          <w:rFonts w:ascii="Arial" w:eastAsia="Arial" w:hAnsi="Arial" w:cs="Arial"/>
        </w:rPr>
      </w:pPr>
      <w:bookmarkStart w:id="3" w:name="_BILL_SECTION_HEADER__1058a938_9ca3_43bf"/>
      <w:bookmarkStart w:id="4" w:name="_PAR__2_cd5ab121_da3e_46d9_82a6_5a145633"/>
      <w:bookmarkStart w:id="5" w:name="_BILL_SECTION__7f0b6b0d_7644_4377_a852_9"/>
      <w:bookmarkStart w:id="6" w:name="_DOC_BODY_CONTENT__bed66b9b_1822_49c7_af"/>
      <w:bookmarkEnd w:id="0"/>
      <w:bookmarkEnd w:id="1"/>
      <w:r>
        <w:rPr>
          <w:rFonts w:ascii="Arial" w:eastAsia="Arial" w:hAnsi="Arial" w:cs="Arial"/>
          <w:b/>
          <w:sz w:val="24"/>
        </w:rPr>
        <w:t xml:space="preserve">Sec. </w:t>
      </w:r>
      <w:bookmarkStart w:id="7" w:name="_BILL_SECTION_NUMBER__c38d03a3_5ffb_42f1"/>
      <w:r>
        <w:rPr>
          <w:rFonts w:ascii="Arial" w:eastAsia="Arial" w:hAnsi="Arial" w:cs="Arial"/>
          <w:b/>
          <w:sz w:val="24"/>
        </w:rPr>
        <w:t>1</w:t>
      </w:r>
      <w:bookmarkEnd w:id="7"/>
      <w:r>
        <w:rPr>
          <w:rFonts w:ascii="Arial" w:eastAsia="Arial" w:hAnsi="Arial" w:cs="Arial"/>
          <w:b/>
          <w:sz w:val="24"/>
        </w:rPr>
        <w:t>.  22 MRSA §3174-S, sub-§2-A,</w:t>
      </w:r>
      <w:r>
        <w:rPr>
          <w:rFonts w:ascii="Arial" w:eastAsia="Arial" w:hAnsi="Arial" w:cs="Arial"/>
        </w:rPr>
        <w:t xml:space="preserve"> as enacted by PL 2021, c. 635, Pt. AAA, §1, is amended to read:</w:t>
      </w:r>
    </w:p>
    <w:p w:rsidR="003512C1" w:rsidP="003512C1">
      <w:pPr>
        <w:ind w:left="360" w:firstLine="360"/>
        <w:rPr>
          <w:rFonts w:ascii="Arial" w:eastAsia="Arial" w:hAnsi="Arial" w:cs="Arial"/>
        </w:rPr>
      </w:pPr>
      <w:bookmarkStart w:id="8" w:name="_STATUTE_NUMBER__7619a52b_b953_4877_8023"/>
      <w:bookmarkStart w:id="9" w:name="_STATUTE_SS__d6d48eba_ffd6_49aa_94dc_ae2"/>
      <w:bookmarkStart w:id="10" w:name="_PAR__3_e5059e38_5f52_440f_877a_6aec7bce"/>
      <w:bookmarkEnd w:id="3"/>
      <w:bookmarkEnd w:id="4"/>
      <w:r>
        <w:rPr>
          <w:rFonts w:ascii="Arial" w:eastAsia="Arial" w:hAnsi="Arial" w:cs="Arial"/>
          <w:b/>
        </w:rPr>
        <w:t>2-A</w:t>
      </w:r>
      <w:bookmarkEnd w:id="8"/>
      <w:r>
        <w:rPr>
          <w:rFonts w:ascii="Arial" w:eastAsia="Arial" w:hAnsi="Arial" w:cs="Arial"/>
          <w:b/>
        </w:rPr>
        <w:t xml:space="preserve">.  </w:t>
      </w:r>
      <w:bookmarkStart w:id="11" w:name="_STATUTE_HEADNOTE__de9725f9_0149_4dbd_8e"/>
      <w:r>
        <w:rPr>
          <w:rFonts w:ascii="Arial" w:eastAsia="Arial" w:hAnsi="Arial" w:cs="Arial"/>
          <w:b/>
        </w:rPr>
        <w:t>School-based preventive oral health services.</w:t>
      </w:r>
      <w:bookmarkEnd w:id="11"/>
      <w:r>
        <w:rPr>
          <w:rFonts w:ascii="Arial" w:eastAsia="Arial" w:hAnsi="Arial" w:cs="Arial"/>
          <w:b/>
        </w:rPr>
        <w:t xml:space="preserve"> </w:t>
      </w:r>
      <w:r>
        <w:rPr>
          <w:rFonts w:ascii="Arial" w:eastAsia="Arial" w:hAnsi="Arial" w:cs="Arial"/>
        </w:rPr>
        <w:t xml:space="preserve"> </w:t>
      </w:r>
      <w:bookmarkStart w:id="12" w:name="_STATUTE_CONTENT__404582e5_7c70_4b35_a00"/>
      <w:r>
        <w:rPr>
          <w:rFonts w:ascii="Arial" w:eastAsia="Arial" w:hAnsi="Arial" w:cs="Arial"/>
        </w:rPr>
        <w:t xml:space="preserve">By January 1, </w:t>
      </w:r>
      <w:r>
        <w:rPr>
          <w:rFonts w:ascii="Arial" w:eastAsia="Arial" w:hAnsi="Arial" w:cs="Arial"/>
          <w:strike/>
        </w:rPr>
        <w:t>2025</w:t>
      </w:r>
      <w:r>
        <w:rPr>
          <w:rFonts w:ascii="Arial" w:eastAsia="Arial" w:hAnsi="Arial" w:cs="Arial"/>
        </w:rPr>
        <w:t xml:space="preserve"> </w:t>
      </w:r>
      <w:r>
        <w:rPr>
          <w:rFonts w:ascii="Arial" w:eastAsia="Arial" w:hAnsi="Arial" w:cs="Arial"/>
          <w:u w:val="single"/>
        </w:rPr>
        <w:t>2027</w:t>
      </w:r>
      <w:r>
        <w:rPr>
          <w:rFonts w:ascii="Arial" w:eastAsia="Arial" w:hAnsi="Arial" w:cs="Arial"/>
        </w:rPr>
        <w:t xml:space="preserve">, the department shall provide preventive oral health services through the Maine Center for Disease Control and Prevention in all </w:t>
      </w:r>
      <w:r>
        <w:rPr>
          <w:rFonts w:ascii="Arial" w:eastAsia="Arial" w:hAnsi="Arial" w:cs="Arial"/>
          <w:u w:val="single"/>
        </w:rPr>
        <w:t>public</w:t>
      </w:r>
      <w:r>
        <w:rPr>
          <w:rFonts w:ascii="Arial" w:eastAsia="Arial" w:hAnsi="Arial" w:cs="Arial"/>
        </w:rPr>
        <w:t xml:space="preserve"> schools in the State.  </w:t>
      </w:r>
      <w:r>
        <w:rPr>
          <w:rFonts w:ascii="Arial" w:eastAsia="Arial" w:hAnsi="Arial" w:cs="Arial"/>
          <w:u w:val="single"/>
        </w:rPr>
        <w:t xml:space="preserve">The department shall establish public-private partnerships between state agencies or </w:t>
      </w:r>
      <w:r>
        <w:rPr>
          <w:rFonts w:ascii="Arial" w:eastAsia="Arial" w:hAnsi="Arial" w:cs="Arial"/>
          <w:u w:val="single"/>
        </w:rPr>
        <w:t xml:space="preserve">public </w:t>
      </w:r>
      <w:r>
        <w:rPr>
          <w:rFonts w:ascii="Arial" w:eastAsia="Arial" w:hAnsi="Arial" w:cs="Arial"/>
          <w:u w:val="single"/>
        </w:rPr>
        <w:t xml:space="preserve">schools </w:t>
      </w:r>
      <w:r>
        <w:rPr>
          <w:rFonts w:ascii="Arial" w:eastAsia="Arial" w:hAnsi="Arial" w:cs="Arial"/>
          <w:u w:val="single"/>
        </w:rPr>
        <w:t>and private</w:t>
      </w:r>
      <w:r>
        <w:rPr>
          <w:rFonts w:ascii="Arial" w:eastAsia="Arial" w:hAnsi="Arial" w:cs="Arial"/>
          <w:u w:val="single"/>
        </w:rPr>
        <w:t xml:space="preserve"> corporations, individuals or organizations to allow mobile dental </w:t>
      </w:r>
      <w:r>
        <w:rPr>
          <w:rFonts w:ascii="Arial" w:eastAsia="Arial" w:hAnsi="Arial" w:cs="Arial"/>
          <w:u w:val="single"/>
        </w:rPr>
        <w:t xml:space="preserve">services </w:t>
      </w:r>
      <w:r>
        <w:rPr>
          <w:rFonts w:ascii="Arial" w:eastAsia="Arial" w:hAnsi="Arial" w:cs="Arial"/>
          <w:u w:val="single"/>
        </w:rPr>
        <w:t>providers to offer additional prevent</w:t>
      </w:r>
      <w:r>
        <w:rPr>
          <w:rFonts w:ascii="Arial" w:eastAsia="Arial" w:hAnsi="Arial" w:cs="Arial"/>
          <w:u w:val="single"/>
        </w:rPr>
        <w:t>ive oral health</w:t>
      </w:r>
      <w:r>
        <w:rPr>
          <w:rFonts w:ascii="Arial" w:eastAsia="Arial" w:hAnsi="Arial" w:cs="Arial"/>
          <w:u w:val="single"/>
        </w:rPr>
        <w:t xml:space="preserve"> and disease intervention services in </w:t>
      </w:r>
      <w:r>
        <w:rPr>
          <w:rFonts w:ascii="Arial" w:eastAsia="Arial" w:hAnsi="Arial" w:cs="Arial"/>
          <w:u w:val="single"/>
        </w:rPr>
        <w:t xml:space="preserve">public </w:t>
      </w:r>
      <w:r>
        <w:rPr>
          <w:rFonts w:ascii="Arial" w:eastAsia="Arial" w:hAnsi="Arial" w:cs="Arial"/>
          <w:u w:val="single"/>
        </w:rPr>
        <w:t>schools.</w:t>
      </w:r>
      <w:bookmarkEnd w:id="12"/>
    </w:p>
    <w:p w:rsidR="003512C1" w:rsidP="003512C1">
      <w:pPr>
        <w:ind w:left="360" w:firstLine="360"/>
        <w:rPr>
          <w:rFonts w:ascii="Arial" w:eastAsia="Arial" w:hAnsi="Arial" w:cs="Arial"/>
        </w:rPr>
      </w:pPr>
      <w:bookmarkStart w:id="13" w:name="_BILL_SECTION_UNALLOCATED__df10cea4_5855"/>
      <w:bookmarkStart w:id="14" w:name="_PAR__4_bceccc01_a0e3_4520_a76f_2151708a"/>
      <w:bookmarkEnd w:id="5"/>
      <w:bookmarkEnd w:id="9"/>
      <w:bookmarkEnd w:id="10"/>
      <w:r>
        <w:rPr>
          <w:rFonts w:ascii="Arial" w:eastAsia="Arial" w:hAnsi="Arial" w:cs="Arial"/>
          <w:b/>
          <w:sz w:val="24"/>
        </w:rPr>
        <w:t xml:space="preserve">Sec. </w:t>
      </w:r>
      <w:bookmarkStart w:id="15" w:name="_BILL_SECTION_NUMBER__83d0f4fa_48f6_4a67"/>
      <w:r>
        <w:rPr>
          <w:rFonts w:ascii="Arial" w:eastAsia="Arial" w:hAnsi="Arial" w:cs="Arial"/>
          <w:b/>
          <w:sz w:val="24"/>
        </w:rPr>
        <w:t>2</w:t>
      </w:r>
      <w:bookmarkEnd w:id="15"/>
      <w:r>
        <w:rPr>
          <w:rFonts w:ascii="Arial" w:eastAsia="Arial" w:hAnsi="Arial" w:cs="Arial"/>
          <w:b/>
          <w:sz w:val="24"/>
        </w:rPr>
        <w:t>.</w:t>
      </w:r>
      <w:r>
        <w:rPr>
          <w:rFonts w:ascii="Arial" w:eastAsia="Arial" w:hAnsi="Arial" w:cs="Arial"/>
        </w:rPr>
        <w:t xml:space="preserve">  </w:t>
      </w:r>
      <w:r w:rsidRPr="00E90C01">
        <w:rPr>
          <w:rFonts w:ascii="Arial" w:eastAsia="Arial" w:hAnsi="Arial" w:cs="Arial"/>
          <w:b/>
          <w:sz w:val="24"/>
        </w:rPr>
        <w:t xml:space="preserve">Mobile dental </w:t>
      </w:r>
      <w:r>
        <w:rPr>
          <w:rFonts w:ascii="Arial" w:eastAsia="Arial" w:hAnsi="Arial" w:cs="Arial"/>
          <w:b/>
          <w:sz w:val="24"/>
        </w:rPr>
        <w:t xml:space="preserve">services </w:t>
      </w:r>
      <w:r w:rsidRPr="00E90C01">
        <w:rPr>
          <w:rFonts w:ascii="Arial" w:eastAsia="Arial" w:hAnsi="Arial" w:cs="Arial"/>
          <w:b/>
          <w:sz w:val="24"/>
        </w:rPr>
        <w:t>providers in public health districts.</w:t>
      </w:r>
      <w:r w:rsidRPr="00E90C01">
        <w:rPr>
          <w:rFonts w:ascii="Arial" w:eastAsia="Arial" w:hAnsi="Arial" w:cs="Arial"/>
        </w:rPr>
        <w:t xml:space="preserve">  The Department of Health and Human Services shall establish a model </w:t>
      </w:r>
      <w:r>
        <w:rPr>
          <w:rFonts w:ascii="Arial" w:eastAsia="Arial" w:hAnsi="Arial" w:cs="Arial"/>
        </w:rPr>
        <w:t xml:space="preserve">to provide </w:t>
      </w:r>
      <w:r w:rsidRPr="00E90C01">
        <w:rPr>
          <w:rFonts w:ascii="Arial" w:eastAsia="Arial" w:hAnsi="Arial" w:cs="Arial"/>
        </w:rPr>
        <w:t xml:space="preserve">for a mobile dental </w:t>
      </w:r>
      <w:r>
        <w:rPr>
          <w:rFonts w:ascii="Arial" w:eastAsia="Arial" w:hAnsi="Arial" w:cs="Arial"/>
        </w:rPr>
        <w:t xml:space="preserve">services </w:t>
      </w:r>
      <w:r w:rsidRPr="00E90C01">
        <w:rPr>
          <w:rFonts w:ascii="Arial" w:eastAsia="Arial" w:hAnsi="Arial" w:cs="Arial"/>
        </w:rPr>
        <w:t>provider in each public health district as de</w:t>
      </w:r>
      <w:r>
        <w:rPr>
          <w:rFonts w:ascii="Arial" w:eastAsia="Arial" w:hAnsi="Arial" w:cs="Arial"/>
        </w:rPr>
        <w:t>scribed</w:t>
      </w:r>
      <w:r w:rsidRPr="00E90C01">
        <w:rPr>
          <w:rFonts w:ascii="Arial" w:eastAsia="Arial" w:hAnsi="Arial" w:cs="Arial"/>
        </w:rPr>
        <w:t xml:space="preserve"> in the Maine Revised Statutes, Title 22, </w:t>
      </w:r>
      <w:r>
        <w:rPr>
          <w:rFonts w:ascii="Arial" w:eastAsia="Arial" w:hAnsi="Arial" w:cs="Arial"/>
        </w:rPr>
        <w:t>section 411, subsection 5</w:t>
      </w:r>
      <w:r w:rsidRPr="00E90C01">
        <w:rPr>
          <w:rFonts w:ascii="Arial" w:eastAsia="Arial" w:hAnsi="Arial" w:cs="Arial"/>
        </w:rPr>
        <w:t>, based on the Cumberland County</w:t>
      </w:r>
      <w:r>
        <w:rPr>
          <w:rFonts w:ascii="Arial" w:eastAsia="Arial" w:hAnsi="Arial" w:cs="Arial"/>
        </w:rPr>
        <w:t xml:space="preserve"> School Oral Health Project</w:t>
      </w:r>
      <w:r w:rsidRPr="00E90C01">
        <w:rPr>
          <w:rFonts w:ascii="Arial" w:eastAsia="Arial" w:hAnsi="Arial" w:cs="Arial"/>
        </w:rPr>
        <w:t xml:space="preserve">.  </w:t>
      </w:r>
      <w:bookmarkStart w:id="16" w:name="_ENGROSSING_REV__ebf7f073_f1c4_435d_8e1f"/>
      <w:bookmarkStart w:id="17" w:name="_REV__7ac83788_5c5c_4fba_a4a3_6fe811fc94"/>
      <w:bookmarkStart w:id="18" w:name="_INSTRUCTION__a246ab1c_b80f_42d0_b99c_8f"/>
      <w:bookmarkStart w:id="19" w:name="_PROCESSED_CHANGE__7da45b1c_23c6_49d1_b1"/>
      <w:bookmarkStart w:id="20" w:name="_PROCESSED_CHANGE__4fd8d7e6_81d9_4e14_bf"/>
      <w:bookmarkStart w:id="21" w:name="_PROCESSED_CHANGE__da4551ba_86e2_4f15_ab"/>
      <w:bookmarkStart w:id="22" w:name="_PROCESSED_CHANGE__55ff2b5e_192c_43b5_a2"/>
      <w:bookmarkStart w:id="23" w:name="_PROCESSED_CHANGE__6a74a7eb_9111_4f83_81"/>
      <w:bookmarkEnd w:id="16"/>
      <w:r>
        <w:rPr>
          <w:rFonts w:ascii="Arial" w:eastAsia="Arial" w:hAnsi="Arial" w:cs="Arial"/>
        </w:rPr>
        <w:t>For the purposes of this section, "mobile dental services" means dental services provided at a setting other than a permanent dental clinic.</w:t>
      </w:r>
      <w:bookmarkEnd w:id="17"/>
      <w:bookmarkEnd w:id="18"/>
      <w:bookmarkEnd w:id="19"/>
      <w:bookmarkEnd w:id="20"/>
      <w:bookmarkEnd w:id="21"/>
      <w:bookmarkEnd w:id="22"/>
      <w:bookmarkEnd w:id="23"/>
      <w:r>
        <w:rPr>
          <w:rFonts w:ascii="Arial" w:eastAsia="Arial" w:hAnsi="Arial" w:cs="Arial"/>
        </w:rPr>
        <w:t xml:space="preserve">  </w:t>
      </w:r>
      <w:r w:rsidRPr="00E90C01">
        <w:rPr>
          <w:rFonts w:ascii="Arial" w:eastAsia="Arial" w:hAnsi="Arial" w:cs="Arial"/>
        </w:rPr>
        <w:t xml:space="preserve">The department shall establish public-private partnerships between the department or school districts </w:t>
      </w:r>
      <w:r>
        <w:rPr>
          <w:rFonts w:ascii="Arial" w:eastAsia="Arial" w:hAnsi="Arial" w:cs="Arial"/>
        </w:rPr>
        <w:t>and</w:t>
      </w:r>
      <w:r w:rsidRPr="00E90C01">
        <w:rPr>
          <w:rFonts w:ascii="Arial" w:eastAsia="Arial" w:hAnsi="Arial" w:cs="Arial"/>
        </w:rPr>
        <w:t xml:space="preserve"> private corporations, individuals or organizations to initially set up mobile dental </w:t>
      </w:r>
      <w:r>
        <w:rPr>
          <w:rFonts w:ascii="Arial" w:eastAsia="Arial" w:hAnsi="Arial" w:cs="Arial"/>
        </w:rPr>
        <w:t xml:space="preserve">services </w:t>
      </w:r>
      <w:r w:rsidRPr="00E90C01">
        <w:rPr>
          <w:rFonts w:ascii="Arial" w:eastAsia="Arial" w:hAnsi="Arial" w:cs="Arial"/>
        </w:rPr>
        <w:t>providers with equipment, supplies, logistics and methods of operation.</w:t>
      </w:r>
    </w:p>
    <w:p w:rsidR="003512C1" w:rsidP="003512C1">
      <w:pPr>
        <w:ind w:left="360" w:firstLine="360"/>
        <w:rPr>
          <w:rFonts w:ascii="Arial" w:eastAsia="Arial" w:hAnsi="Arial" w:cs="Arial"/>
        </w:rPr>
      </w:pPr>
      <w:bookmarkStart w:id="24" w:name="_BILL_SECTION_UNALLOCATED__6c5ab593_ceeb"/>
      <w:bookmarkStart w:id="25" w:name="_PAR__5_2784b1db_e04a_4eb6_b581_30d0e6ce"/>
      <w:bookmarkEnd w:id="13"/>
      <w:bookmarkEnd w:id="14"/>
      <w:r>
        <w:rPr>
          <w:rFonts w:ascii="Arial" w:eastAsia="Arial" w:hAnsi="Arial" w:cs="Arial"/>
          <w:b/>
          <w:sz w:val="24"/>
        </w:rPr>
        <w:t xml:space="preserve">Sec. </w:t>
      </w:r>
      <w:bookmarkStart w:id="26" w:name="_BILL_SECTION_NUMBER__008b43f2_a053_49ff"/>
      <w:r>
        <w:rPr>
          <w:rFonts w:ascii="Arial" w:eastAsia="Arial" w:hAnsi="Arial" w:cs="Arial"/>
          <w:b/>
          <w:sz w:val="24"/>
        </w:rPr>
        <w:t>3</w:t>
      </w:r>
      <w:bookmarkEnd w:id="26"/>
      <w:r>
        <w:rPr>
          <w:rFonts w:ascii="Arial" w:eastAsia="Arial" w:hAnsi="Arial" w:cs="Arial"/>
          <w:b/>
          <w:sz w:val="24"/>
        </w:rPr>
        <w:t>.</w:t>
      </w:r>
      <w:r>
        <w:rPr>
          <w:rFonts w:ascii="Arial" w:eastAsia="Arial" w:hAnsi="Arial" w:cs="Arial"/>
        </w:rPr>
        <w:t xml:space="preserve">  </w:t>
      </w:r>
      <w:r w:rsidRPr="00E90C01">
        <w:rPr>
          <w:rFonts w:ascii="Arial" w:eastAsia="Arial" w:hAnsi="Arial" w:cs="Arial"/>
          <w:b/>
          <w:sz w:val="24"/>
        </w:rPr>
        <w:t>Department of Health and Human Services to provide training and education to primary care providers.</w:t>
      </w:r>
      <w:r w:rsidRPr="00E90C01">
        <w:rPr>
          <w:rFonts w:ascii="Arial" w:eastAsia="Arial" w:hAnsi="Arial" w:cs="Arial"/>
          <w:sz w:val="24"/>
        </w:rPr>
        <w:t xml:space="preserve">  </w:t>
      </w:r>
      <w:r w:rsidRPr="00E90C01">
        <w:rPr>
          <w:rFonts w:ascii="Arial" w:eastAsia="Arial" w:hAnsi="Arial" w:cs="Arial"/>
        </w:rPr>
        <w:t xml:space="preserve">The </w:t>
      </w:r>
      <w:r>
        <w:rPr>
          <w:rFonts w:ascii="Arial" w:eastAsia="Arial" w:hAnsi="Arial" w:cs="Arial"/>
        </w:rPr>
        <w:t>o</w:t>
      </w:r>
      <w:r w:rsidRPr="00E90C01">
        <w:rPr>
          <w:rFonts w:ascii="Arial" w:eastAsia="Arial" w:hAnsi="Arial" w:cs="Arial"/>
        </w:rPr>
        <w:t xml:space="preserve">ral </w:t>
      </w:r>
      <w:r>
        <w:rPr>
          <w:rFonts w:ascii="Arial" w:eastAsia="Arial" w:hAnsi="Arial" w:cs="Arial"/>
        </w:rPr>
        <w:t>h</w:t>
      </w:r>
      <w:r w:rsidRPr="00E90C01">
        <w:rPr>
          <w:rFonts w:ascii="Arial" w:eastAsia="Arial" w:hAnsi="Arial" w:cs="Arial"/>
        </w:rPr>
        <w:t xml:space="preserve">ealth </w:t>
      </w:r>
      <w:r>
        <w:rPr>
          <w:rFonts w:ascii="Arial" w:eastAsia="Arial" w:hAnsi="Arial" w:cs="Arial"/>
        </w:rPr>
        <w:t>p</w:t>
      </w:r>
      <w:r w:rsidRPr="00E90C01">
        <w:rPr>
          <w:rFonts w:ascii="Arial" w:eastAsia="Arial" w:hAnsi="Arial" w:cs="Arial"/>
        </w:rPr>
        <w:t xml:space="preserve">rogram within the Department of Health and Human Services shall provide training and education to primary care providers on minimally invasive dental disease treatment for </w:t>
      </w:r>
      <w:r>
        <w:rPr>
          <w:rFonts w:ascii="Arial" w:eastAsia="Arial" w:hAnsi="Arial" w:cs="Arial"/>
        </w:rPr>
        <w:t>infants</w:t>
      </w:r>
      <w:r w:rsidRPr="00E90C01">
        <w:rPr>
          <w:rFonts w:ascii="Arial" w:eastAsia="Arial" w:hAnsi="Arial" w:cs="Arial"/>
        </w:rPr>
        <w:t xml:space="preserve"> and small children.  </w:t>
      </w:r>
      <w:bookmarkStart w:id="27" w:name="_ENGROSSING_REV__60dfadc1_80e9_43e6_b882"/>
      <w:bookmarkStart w:id="28" w:name="_REV__8f173bf8_7e39_44bb_b360_5e0143d60d"/>
      <w:bookmarkStart w:id="29" w:name="_INSTRUCTION__1d649943_48d8_4c58_aa70_b2"/>
      <w:bookmarkStart w:id="30" w:name="_PROCESSED_CHANGE__2d9e65fd_67d8_4559_a4"/>
      <w:bookmarkStart w:id="31" w:name="_PROCESSED_CHANGE__9fd6ec8e_3642_421c_89"/>
      <w:bookmarkStart w:id="32" w:name="_PROCESSED_CHANGE__a2e51f11_9844_4d7d_a7"/>
      <w:bookmarkStart w:id="33" w:name="_PROCESSED_CHANGE__5579fee7_44eb_464c_b1"/>
      <w:bookmarkStart w:id="34" w:name="_PROCESSED_CHANGE__138958b3_87c9_49ec_8b"/>
      <w:bookmarkEnd w:id="27"/>
      <w:r>
        <w:rPr>
          <w:rFonts w:ascii="Arial" w:eastAsia="Arial" w:hAnsi="Arial" w:cs="Arial"/>
        </w:rPr>
        <w:t>The department shall ensure that all training and education is provided by licensed dental health professionals.</w:t>
      </w:r>
      <w:bookmarkEnd w:id="28"/>
      <w:bookmarkEnd w:id="29"/>
      <w:bookmarkEnd w:id="30"/>
      <w:bookmarkEnd w:id="31"/>
      <w:bookmarkEnd w:id="32"/>
      <w:bookmarkEnd w:id="33"/>
      <w:bookmarkEnd w:id="34"/>
      <w:r>
        <w:rPr>
          <w:rFonts w:ascii="Arial" w:eastAsia="Arial" w:hAnsi="Arial" w:cs="Arial"/>
        </w:rPr>
        <w:t xml:space="preserve">  </w:t>
      </w:r>
      <w:r w:rsidRPr="00E90C01">
        <w:rPr>
          <w:rFonts w:ascii="Arial" w:eastAsia="Arial" w:hAnsi="Arial" w:cs="Arial"/>
        </w:rPr>
        <w:t xml:space="preserve">The department shall use guidance from the From the First Tooth program </w:t>
      </w:r>
      <w:r>
        <w:rPr>
          <w:rFonts w:ascii="Arial" w:eastAsia="Arial" w:hAnsi="Arial" w:cs="Arial"/>
        </w:rPr>
        <w:t xml:space="preserve">or its successor program </w:t>
      </w:r>
      <w:r w:rsidRPr="00E90C01">
        <w:rPr>
          <w:rFonts w:ascii="Arial" w:eastAsia="Arial" w:hAnsi="Arial" w:cs="Arial"/>
        </w:rPr>
        <w:t xml:space="preserve">and the American Academy of Pediatrics to encourage the use of silver diamine fluoride by pediatricians in primary care settings to </w:t>
      </w:r>
      <w:r>
        <w:rPr>
          <w:rFonts w:ascii="Arial" w:eastAsia="Arial" w:hAnsi="Arial" w:cs="Arial"/>
        </w:rPr>
        <w:t>reduce</w:t>
      </w:r>
      <w:r w:rsidRPr="00E90C01">
        <w:rPr>
          <w:rFonts w:ascii="Arial" w:eastAsia="Arial" w:hAnsi="Arial" w:cs="Arial"/>
        </w:rPr>
        <w:t xml:space="preserve"> dental disease and prevent cavities.</w:t>
      </w:r>
    </w:p>
    <w:p w:rsidR="003512C1" w:rsidP="003512C1">
      <w:pPr>
        <w:ind w:left="360" w:firstLine="360"/>
        <w:rPr>
          <w:rFonts w:ascii="Arial" w:eastAsia="Arial" w:hAnsi="Arial" w:cs="Arial"/>
        </w:rPr>
      </w:pPr>
      <w:bookmarkStart w:id="35" w:name="_APPROP_SECTION__c8ccceb4_1ff7_484e_8a35"/>
      <w:bookmarkStart w:id="36" w:name="_INSTRUCTION__afbadf4d_d339_4ff7_b0f1_c3"/>
      <w:bookmarkEnd w:id="24"/>
      <w:bookmarkEnd w:id="25"/>
      <w:r>
        <w:rPr>
          <w:rFonts w:ascii="Arial" w:eastAsia="Arial" w:hAnsi="Arial" w:cs="Arial"/>
          <w:b/>
          <w:sz w:val="24"/>
        </w:rPr>
        <w:t xml:space="preserve">Sec. </w:t>
      </w:r>
      <w:bookmarkStart w:id="37" w:name="_BILL_SECTION_NUMBER__bcf2e8d4_47d0_449c"/>
      <w:r>
        <w:rPr>
          <w:rFonts w:ascii="Arial" w:eastAsia="Arial" w:hAnsi="Arial" w:cs="Arial"/>
          <w:b/>
          <w:sz w:val="24"/>
        </w:rPr>
        <w:t>4</w:t>
      </w:r>
      <w:bookmarkEnd w:id="37"/>
      <w:r>
        <w:rPr>
          <w:rFonts w:ascii="Arial" w:eastAsia="Arial" w:hAnsi="Arial" w:cs="Arial"/>
          <w:b/>
          <w:sz w:val="24"/>
        </w:rPr>
        <w:t>.  Appropriations and allocations.</w:t>
      </w:r>
      <w:r>
        <w:rPr>
          <w:rFonts w:ascii="Arial" w:eastAsia="Arial" w:hAnsi="Arial" w:cs="Arial"/>
        </w:rPr>
        <w:t>  The following appropriations and allocations are made.</w:t>
      </w:r>
    </w:p>
    <w:p w:rsidR="003512C1" w:rsidP="003512C1">
      <w:pPr>
        <w:pStyle w:val="BPSParagraphLeftAlign"/>
        <w:suppressAutoHyphens/>
        <w:ind w:left="360"/>
        <w:rPr>
          <w:rFonts w:ascii="Arial" w:eastAsia="Arial" w:hAnsi="Arial" w:cs="Arial"/>
        </w:rPr>
      </w:pPr>
      <w:r>
        <w:rPr>
          <w:rFonts w:ascii="Arial" w:eastAsia="Arial" w:hAnsi="Arial" w:cs="Arial"/>
          <w:b/>
        </w:rPr>
        <w:t>HEALTH AND HUMAN SERVICES, DEPARTMENT OF</w:t>
      </w:r>
    </w:p>
    <w:p w:rsidR="003512C1" w:rsidP="003512C1">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3512C1" w:rsidP="003512C1">
      <w:pPr>
        <w:ind w:left="360"/>
        <w:rPr>
          <w:rFonts w:ascii="Arial" w:eastAsia="Arial" w:hAnsi="Arial" w:cs="Arial"/>
        </w:rPr>
      </w:pPr>
      <w:r>
        <w:rPr>
          <w:rFonts w:ascii="Arial" w:eastAsia="Arial" w:hAnsi="Arial" w:cs="Arial"/>
        </w:rPr>
        <w:t>Initiative: Provides funding to contract with mobile dental services providers to deliver services in public schools and provides funding for ongoing training and education for primary care providers on minimally invasive dental disease treatment.</w:t>
      </w:r>
    </w:p>
    <w:tbl>
      <w:tblPr>
        <w:tblStyle w:val="BPSTable"/>
        <w:tblW w:w="0" w:type="auto"/>
        <w:tblInd w:w="360" w:type="dxa"/>
        <w:tblCellMar>
          <w:left w:w="0" w:type="dxa"/>
          <w:right w:w="0" w:type="dxa"/>
        </w:tblCellMar>
        <w:tblLook w:val="04A0"/>
      </w:tblPr>
      <w:tblGrid>
        <w:gridCol w:w="5009"/>
        <w:gridCol w:w="1463"/>
        <w:gridCol w:w="1463"/>
      </w:tblGrid>
      <w:tr w:rsidTr="00686812">
        <w:tblPrEx>
          <w:tblW w:w="0" w:type="auto"/>
          <w:tblInd w:w="360" w:type="dxa"/>
          <w:tblCellMar>
            <w:left w:w="0" w:type="dxa"/>
            <w:right w:w="0" w:type="dxa"/>
          </w:tblCellMar>
          <w:tblLook w:val="04A0"/>
        </w:tblPrEx>
        <w:tc>
          <w:tcPr>
            <w:tcW w:w="5069" w:type="dxa"/>
          </w:tcPr>
          <w:p w:rsidR="003512C1" w:rsidP="00686812">
            <w:pPr>
              <w:rPr>
                <w:rFonts w:ascii="Arial" w:eastAsia="Arial" w:hAnsi="Arial" w:cs="Arial"/>
              </w:rPr>
            </w:pPr>
            <w:r>
              <w:rPr>
                <w:rFonts w:ascii="Arial" w:eastAsia="Arial" w:hAnsi="Arial" w:cs="Arial"/>
                <w:b/>
              </w:rPr>
              <w:t>GENERAL FUND</w:t>
            </w:r>
          </w:p>
        </w:tc>
        <w:tc>
          <w:tcPr>
            <w:tcW w:w="1469" w:type="dxa"/>
          </w:tcPr>
          <w:p w:rsidR="003512C1" w:rsidP="00686812">
            <w:pPr>
              <w:jc w:val="right"/>
              <w:rPr>
                <w:rFonts w:ascii="Arial" w:eastAsia="Arial" w:hAnsi="Arial" w:cs="Arial"/>
              </w:rPr>
            </w:pPr>
            <w:r>
              <w:rPr>
                <w:rFonts w:ascii="Arial" w:eastAsia="Arial" w:hAnsi="Arial" w:cs="Arial"/>
                <w:b/>
              </w:rPr>
              <w:t>2025-26</w:t>
            </w:r>
          </w:p>
        </w:tc>
        <w:tc>
          <w:tcPr>
            <w:tcW w:w="1469" w:type="dxa"/>
          </w:tcPr>
          <w:p w:rsidR="003512C1" w:rsidP="00686812">
            <w:pPr>
              <w:jc w:val="right"/>
              <w:rPr>
                <w:rFonts w:ascii="Arial" w:eastAsia="Arial" w:hAnsi="Arial" w:cs="Arial"/>
              </w:rPr>
            </w:pPr>
            <w:r>
              <w:rPr>
                <w:rFonts w:ascii="Arial" w:eastAsia="Arial" w:hAnsi="Arial" w:cs="Arial"/>
                <w:b/>
              </w:rPr>
              <w:t>2026-27</w:t>
            </w:r>
          </w:p>
        </w:tc>
      </w:tr>
      <w:tr w:rsidTr="00686812">
        <w:tblPrEx>
          <w:tblW w:w="0" w:type="auto"/>
          <w:tblInd w:w="360" w:type="dxa"/>
          <w:tblCellMar>
            <w:left w:w="0" w:type="dxa"/>
            <w:right w:w="0" w:type="dxa"/>
          </w:tblCellMar>
          <w:tblLook w:val="04A0"/>
        </w:tblPrEx>
        <w:tc>
          <w:tcPr>
            <w:tcW w:w="5069" w:type="dxa"/>
          </w:tcPr>
          <w:p w:rsidR="003512C1" w:rsidP="00686812">
            <w:pPr>
              <w:ind w:left="180"/>
              <w:rPr>
                <w:rFonts w:ascii="Arial" w:eastAsia="Arial" w:hAnsi="Arial" w:cs="Arial"/>
              </w:rPr>
            </w:pPr>
            <w:r>
              <w:rPr>
                <w:rFonts w:ascii="Arial" w:eastAsia="Arial" w:hAnsi="Arial" w:cs="Arial"/>
              </w:rPr>
              <w:t>All Other</w:t>
            </w:r>
          </w:p>
        </w:tc>
        <w:tc>
          <w:tcPr>
            <w:tcW w:w="1469" w:type="dxa"/>
          </w:tcPr>
          <w:p w:rsidR="003512C1" w:rsidP="00686812">
            <w:pPr>
              <w:jc w:val="right"/>
              <w:rPr>
                <w:rFonts w:ascii="Arial" w:eastAsia="Arial" w:hAnsi="Arial" w:cs="Arial"/>
              </w:rPr>
            </w:pPr>
            <w:r>
              <w:rPr>
                <w:rFonts w:ascii="Arial" w:eastAsia="Arial" w:hAnsi="Arial" w:cs="Arial"/>
              </w:rPr>
              <w:t>$0</w:t>
            </w:r>
          </w:p>
        </w:tc>
        <w:tc>
          <w:tcPr>
            <w:tcW w:w="1469" w:type="dxa"/>
          </w:tcPr>
          <w:p w:rsidR="003512C1" w:rsidP="00686812">
            <w:pPr>
              <w:jc w:val="right"/>
              <w:rPr>
                <w:rFonts w:ascii="Arial" w:eastAsia="Arial" w:hAnsi="Arial" w:cs="Arial"/>
              </w:rPr>
            </w:pPr>
            <w:r>
              <w:rPr>
                <w:rFonts w:ascii="Arial" w:eastAsia="Arial" w:hAnsi="Arial" w:cs="Arial"/>
              </w:rPr>
              <w:t>$325,000</w:t>
            </w:r>
          </w:p>
        </w:tc>
      </w:tr>
      <w:tr w:rsidTr="00686812">
        <w:tblPrEx>
          <w:tblW w:w="0" w:type="auto"/>
          <w:tblInd w:w="360" w:type="dxa"/>
          <w:tblCellMar>
            <w:left w:w="0" w:type="dxa"/>
            <w:right w:w="0" w:type="dxa"/>
          </w:tblCellMar>
          <w:tblLook w:val="04A0"/>
        </w:tblPrEx>
        <w:tc>
          <w:tcPr>
            <w:tcW w:w="5069" w:type="dxa"/>
          </w:tcPr>
          <w:p w:rsidR="003512C1" w:rsidP="00686812">
            <w:pPr>
              <w:rPr>
                <w:rFonts w:ascii="Arial" w:eastAsia="Arial" w:hAnsi="Arial" w:cs="Arial"/>
              </w:rPr>
            </w:pPr>
            <w:r>
              <w:rPr>
                <w:rFonts w:ascii="Arial" w:eastAsia="Arial" w:hAnsi="Arial" w:cs="Arial"/>
              </w:rPr>
              <w:t xml:space="preserve"> </w:t>
            </w:r>
          </w:p>
        </w:tc>
        <w:tc>
          <w:tcPr>
            <w:tcW w:w="1469" w:type="dxa"/>
          </w:tcPr>
          <w:p w:rsidR="003512C1" w:rsidP="00686812">
            <w:pPr>
              <w:jc w:val="right"/>
              <w:rPr>
                <w:rFonts w:ascii="Arial" w:eastAsia="Arial" w:hAnsi="Arial" w:cs="Arial"/>
              </w:rPr>
            </w:pPr>
            <w:r>
              <w:rPr>
                <w:rFonts w:ascii="Arial" w:eastAsia="Arial" w:hAnsi="Arial" w:cs="Arial"/>
              </w:rPr>
              <w:t>__________</w:t>
            </w:r>
          </w:p>
        </w:tc>
        <w:tc>
          <w:tcPr>
            <w:tcW w:w="1469" w:type="dxa"/>
          </w:tcPr>
          <w:p w:rsidR="003512C1" w:rsidP="00686812">
            <w:pPr>
              <w:jc w:val="right"/>
              <w:rPr>
                <w:rFonts w:ascii="Arial" w:eastAsia="Arial" w:hAnsi="Arial" w:cs="Arial"/>
              </w:rPr>
            </w:pPr>
            <w:r>
              <w:rPr>
                <w:rFonts w:ascii="Arial" w:eastAsia="Arial" w:hAnsi="Arial" w:cs="Arial"/>
              </w:rPr>
              <w:t>__________</w:t>
            </w:r>
          </w:p>
        </w:tc>
      </w:tr>
      <w:tr w:rsidTr="00686812">
        <w:tblPrEx>
          <w:tblW w:w="0" w:type="auto"/>
          <w:tblInd w:w="360" w:type="dxa"/>
          <w:tblCellMar>
            <w:left w:w="0" w:type="dxa"/>
            <w:right w:w="0" w:type="dxa"/>
          </w:tblCellMar>
          <w:tblLook w:val="04A0"/>
        </w:tblPrEx>
        <w:tc>
          <w:tcPr>
            <w:tcW w:w="5069" w:type="dxa"/>
          </w:tcPr>
          <w:p w:rsidR="003512C1" w:rsidP="00686812">
            <w:pPr>
              <w:rPr>
                <w:rFonts w:ascii="Arial" w:eastAsia="Arial" w:hAnsi="Arial" w:cs="Arial"/>
              </w:rPr>
            </w:pPr>
            <w:r>
              <w:rPr>
                <w:rFonts w:ascii="Arial" w:eastAsia="Arial" w:hAnsi="Arial" w:cs="Arial"/>
              </w:rPr>
              <w:t>GENERAL FUND TOTAL</w:t>
            </w:r>
          </w:p>
        </w:tc>
        <w:tc>
          <w:tcPr>
            <w:tcW w:w="1469" w:type="dxa"/>
          </w:tcPr>
          <w:p w:rsidR="003512C1" w:rsidP="00686812">
            <w:pPr>
              <w:jc w:val="right"/>
              <w:rPr>
                <w:rFonts w:ascii="Arial" w:eastAsia="Arial" w:hAnsi="Arial" w:cs="Arial"/>
              </w:rPr>
            </w:pPr>
            <w:r>
              <w:rPr>
                <w:rFonts w:ascii="Arial" w:eastAsia="Arial" w:hAnsi="Arial" w:cs="Arial"/>
              </w:rPr>
              <w:t>$0</w:t>
            </w:r>
          </w:p>
        </w:tc>
        <w:tc>
          <w:tcPr>
            <w:tcW w:w="1469" w:type="dxa"/>
          </w:tcPr>
          <w:p w:rsidR="003512C1" w:rsidP="00686812">
            <w:pPr>
              <w:jc w:val="right"/>
              <w:rPr>
                <w:rFonts w:ascii="Arial" w:eastAsia="Arial" w:hAnsi="Arial" w:cs="Arial"/>
              </w:rPr>
            </w:pPr>
            <w:r>
              <w:rPr>
                <w:rFonts w:ascii="Arial" w:eastAsia="Arial" w:hAnsi="Arial" w:cs="Arial"/>
              </w:rPr>
              <w:t>$325,000</w:t>
            </w:r>
          </w:p>
        </w:tc>
      </w:tr>
      <w:bookmarkEnd w:id="2"/>
      <w:bookmarkEnd w:id="6"/>
      <w:bookmarkEnd w:id="35"/>
      <w:bookmarkEnd w:id="36"/>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LR1212,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Reduce Dental Disease and Ensure Access to Essential Preventive Dental Care Among Maine Children</w:t>
    </w:r>
  </w:p>
  <w:p>
    <w:pPr>
      <w:suppressLineNumbers/>
      <w:spacing w:before="0" w:after="0"/>
      <w:jc w:val="center"/>
      <w:rPr>
        <w:rFonts w:ascii="Arial" w:eastAsia="Arial" w:hAnsi="Arial" w:cs="Arial"/>
      </w:rPr>
    </w:pPr>
    <w:r>
      <w:rPr>
        <w:rFonts w:ascii="Arial" w:eastAsia="Arial" w:hAnsi="Arial" w:cs="Arial"/>
        <w:sz w:val="22"/>
      </w:rPr>
      <w:t>L.D. 1746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512C1"/>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86812"/>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90C01"/>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