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Outcomes for Persons with Limb Loss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741 - L.D. 1003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Improve Outcomes for Persons with Limb Loss</w:t>
      </w:r>
    </w:p>
    <w:p w:rsidR="00BD3B56" w:rsidP="00BD3B56">
      <w:pPr>
        <w:ind w:left="360"/>
        <w:rPr>
          <w:rFonts w:ascii="Arial" w:eastAsia="Arial" w:hAnsi="Arial" w:cs="Arial"/>
        </w:rPr>
      </w:pPr>
      <w:bookmarkStart w:id="0" w:name="_ENACTING_CLAUSE__482c9735_a06e_42e3_8ea"/>
      <w:bookmarkStart w:id="1" w:name="_PAR__1_74645494_5113_4dfb_af6b_a216bf3c"/>
      <w:bookmarkStart w:id="2" w:name="_DOC_BODY_CONTAINER__fe70c71d_086c_48e0_"/>
      <w:r>
        <w:rPr>
          <w:rFonts w:ascii="Arial" w:eastAsia="Arial" w:hAnsi="Arial" w:cs="Arial"/>
          <w:b/>
        </w:rPr>
        <w:t>Be it enacted by the People of the State of Maine as follows:</w:t>
      </w:r>
    </w:p>
    <w:p w:rsidR="00BD3B56" w:rsidP="00BD3B56">
      <w:pPr>
        <w:ind w:left="360" w:firstLine="360"/>
        <w:rPr>
          <w:rFonts w:ascii="Arial" w:eastAsia="Arial" w:hAnsi="Arial" w:cs="Arial"/>
        </w:rPr>
      </w:pPr>
      <w:bookmarkStart w:id="3" w:name="_BILL_SECTION_HEADER__d7dc53ec_bb31_42fc"/>
      <w:bookmarkStart w:id="4" w:name="_BILL_SECTION__3016516f_45f7_4e32_9a65_0"/>
      <w:bookmarkStart w:id="5" w:name="_INSTRUCTION__fa1cb2ae_07c6_406e_88a3_bd"/>
      <w:bookmarkStart w:id="6" w:name="_DOC_BODY_CONTENT__2945c462_25be_41b2_a3"/>
      <w:bookmarkEnd w:id="0"/>
      <w:bookmarkEnd w:id="1"/>
      <w:r>
        <w:rPr>
          <w:rFonts w:ascii="Arial" w:eastAsia="Arial" w:hAnsi="Arial" w:cs="Arial"/>
          <w:b/>
          <w:sz w:val="24"/>
        </w:rPr>
        <w:t xml:space="preserve">Sec. </w:t>
      </w:r>
      <w:bookmarkStart w:id="7" w:name="_BILL_SECTION_NUMBER__661a813f_983b_45ff"/>
      <w:r>
        <w:rPr>
          <w:rFonts w:ascii="Arial" w:eastAsia="Arial" w:hAnsi="Arial" w:cs="Arial"/>
          <w:b/>
          <w:sz w:val="24"/>
        </w:rPr>
        <w:t>1</w:t>
      </w:r>
      <w:bookmarkEnd w:id="7"/>
      <w:r>
        <w:rPr>
          <w:rFonts w:ascii="Arial" w:eastAsia="Arial" w:hAnsi="Arial" w:cs="Arial"/>
          <w:b/>
          <w:sz w:val="24"/>
        </w:rPr>
        <w:t>.  24-A MRSA §4315, sub-§2,</w:t>
      </w:r>
      <w:r>
        <w:rPr>
          <w:rFonts w:ascii="Arial" w:eastAsia="Arial" w:hAnsi="Arial" w:cs="Arial"/>
        </w:rPr>
        <w:t xml:space="preserve"> as amended by PL 2003, c. 688, Pt. I, §1, is further amended to read:</w:t>
      </w:r>
    </w:p>
    <w:p w:rsidR="00BD3B56" w:rsidP="00BD3B56">
      <w:pPr>
        <w:ind w:left="360" w:firstLine="360"/>
        <w:rPr>
          <w:rFonts w:ascii="Arial" w:eastAsia="Arial" w:hAnsi="Arial" w:cs="Arial"/>
        </w:rPr>
      </w:pPr>
      <w:bookmarkStart w:id="8" w:name="_STATUTE_NUMBER__139a8e66_b428_453b_b368"/>
      <w:bookmarkStart w:id="9" w:name="_STATUTE_SS__ceaa1ce1_6e09_4d1c_aaf0_0a8"/>
      <w:bookmarkEnd w:id="3"/>
      <w:r>
        <w:rPr>
          <w:rFonts w:ascii="Arial" w:eastAsia="Arial" w:hAnsi="Arial" w:cs="Arial"/>
          <w:b/>
        </w:rPr>
        <w:t>2</w:t>
      </w:r>
      <w:bookmarkEnd w:id="8"/>
      <w:r>
        <w:rPr>
          <w:rFonts w:ascii="Arial" w:eastAsia="Arial" w:hAnsi="Arial" w:cs="Arial"/>
          <w:b/>
        </w:rPr>
        <w:t xml:space="preserve">.  </w:t>
      </w:r>
      <w:bookmarkStart w:id="10" w:name="_STATUTE_HEADNOTE__30ba2856_363b_4461_9f"/>
      <w:r>
        <w:rPr>
          <w:rFonts w:ascii="Arial" w:eastAsia="Arial" w:hAnsi="Arial" w:cs="Arial"/>
          <w:b/>
        </w:rPr>
        <w:t>Required coverage.</w:t>
      </w:r>
      <w:bookmarkEnd w:id="10"/>
      <w:r>
        <w:rPr>
          <w:rFonts w:ascii="Arial" w:eastAsia="Arial" w:hAnsi="Arial" w:cs="Arial"/>
          <w:b/>
        </w:rPr>
        <w:t xml:space="preserve"> </w:t>
      </w:r>
      <w:r>
        <w:rPr>
          <w:rFonts w:ascii="Arial" w:eastAsia="Arial" w:hAnsi="Arial" w:cs="Arial"/>
        </w:rPr>
        <w:t xml:space="preserve"> </w:t>
      </w:r>
      <w:bookmarkStart w:id="11" w:name="_STATUTE_CONTENT__0389705d_9ade_43c2_a71"/>
      <w:r>
        <w:rPr>
          <w:rFonts w:ascii="Arial" w:eastAsia="Arial" w:hAnsi="Arial" w:cs="Arial"/>
        </w:rPr>
        <w:t xml:space="preserve">A carrier shall provide coverage for prosthetic devices in all health plans that, at a minimum, equals, except as provided in subsection 8, the coverage and payment for prosthetic devices provided under federal laws and regulations for the aged and disabled pursuant to 42 United States Code, Sections 1395k, 1395l and 1395m and 42 Code of Federal Regulations, Sections 414.202, 414.210, 414.228 and 410.100.  Covered benefits must be provided </w:t>
      </w:r>
      <w:bookmarkStart w:id="12" w:name="_PROCESSED_CHANGE__07f859a2_66ec_406a_8c"/>
      <w:bookmarkStart w:id="13" w:name="_PROCESSED_CHANGE__5f77e8cb_faab_4d41_ac"/>
      <w:r>
        <w:rPr>
          <w:rFonts w:ascii="Arial" w:eastAsia="Arial" w:hAnsi="Arial" w:cs="Arial"/>
        </w:rPr>
        <w:t xml:space="preserve">for </w:t>
      </w:r>
      <w:bookmarkStart w:id="14" w:name="_REV__9a3321b2_b840_4f13_be9a_d267a966cf"/>
      <w:bookmarkStart w:id="15" w:name="_PROCESSED_CHANGE__6644fcbd_f500_47f1_a8"/>
      <w:bookmarkStart w:id="16" w:name="_PROCESSED_CHANGE__b9a1b03b_d8c3_44fc_be"/>
      <w:bookmarkStart w:id="17" w:name="_PROCESSED_CHANGE__2a310e0f_a80f_4790_ac"/>
      <w:r>
        <w:rPr>
          <w:rFonts w:ascii="Arial" w:eastAsia="Arial" w:hAnsi="Arial" w:cs="Arial"/>
          <w:strike/>
        </w:rPr>
        <w:t xml:space="preserve">a prosthetic device determined by the enrollee's provider, in accordance with </w:t>
      </w:r>
      <w:bookmarkStart w:id="18" w:name="_CROSS_REFERENCE__50a7f1a2_dde0_4a04_9d7"/>
      <w:r>
        <w:rPr>
          <w:rFonts w:ascii="Arial" w:eastAsia="Arial" w:hAnsi="Arial" w:cs="Arial"/>
          <w:strike/>
        </w:rPr>
        <w:t>section 4301‑A, subsection 10‑A</w:t>
      </w:r>
      <w:bookmarkEnd w:id="18"/>
      <w:r>
        <w:rPr>
          <w:rFonts w:ascii="Arial" w:eastAsia="Arial" w:hAnsi="Arial" w:cs="Arial"/>
          <w:strike/>
        </w:rPr>
        <w:t>, to be the most appropriate model that adequately meets the medical needs of the enrollee.</w:t>
      </w:r>
      <w:bookmarkStart w:id="19" w:name="_REV__2473183b_5d05_4978_931a_5bd78022f9"/>
      <w:bookmarkStart w:id="20" w:name="_PROCESSED_CHANGE__f27ed36e_b521_42e3_b3"/>
      <w:bookmarkStart w:id="21" w:name="_PROCESSED_CHANGE__f7e63880_d17f_4865_b2"/>
      <w:bookmarkStart w:id="22" w:name="_PROCESSED_CHANGE__1f472f60_905e_41b4_9d"/>
      <w:bookmarkStart w:id="23" w:name="_PROCESSED_CHANGE__00936a64_1179_4f5b_9b"/>
      <w:bookmarkStart w:id="24" w:name="_PROCESSED_CHANGE__ddf039f4_c953_4f82_be"/>
      <w:bookmarkEnd w:id="12"/>
      <w:bookmarkEnd w:id="13"/>
      <w:bookmarkEnd w:id="14"/>
      <w:bookmarkEnd w:id="15"/>
      <w:bookmarkEnd w:id="16"/>
      <w:bookmarkEnd w:id="17"/>
      <w:r>
        <w:rPr>
          <w:rFonts w:ascii="Arial" w:eastAsia="Arial" w:hAnsi="Arial" w:cs="Arial"/>
          <w:u w:val="single"/>
        </w:rPr>
        <w:t>:</w:t>
      </w:r>
      <w:bookmarkEnd w:id="11"/>
      <w:bookmarkEnd w:id="19"/>
      <w:bookmarkEnd w:id="20"/>
      <w:bookmarkEnd w:id="21"/>
      <w:bookmarkEnd w:id="22"/>
      <w:bookmarkEnd w:id="23"/>
      <w:bookmarkEnd w:id="24"/>
    </w:p>
    <w:p w:rsidR="00BD3B56" w:rsidP="00BD3B56">
      <w:pPr>
        <w:ind w:left="720"/>
        <w:rPr>
          <w:rFonts w:ascii="Arial" w:eastAsia="Arial" w:hAnsi="Arial" w:cs="Arial"/>
        </w:rPr>
      </w:pPr>
      <w:bookmarkStart w:id="25" w:name="_STATUTE_NUMBER__83e49610_a7e2_4be9_a626"/>
      <w:bookmarkStart w:id="26" w:name="_STATUTE_P__5bfb5d62_7997_4d6f_8eed_8665"/>
      <w:bookmarkStart w:id="27" w:name="_REV__a8e43ddb_71d7_4e1e_bd4c_f43f70f817"/>
      <w:bookmarkStart w:id="28" w:name="_PROCESSED_CHANGE__2db6e841_1e4c_4615_81"/>
      <w:bookmarkStart w:id="29" w:name="_PROCESSED_CHANGE__ce84f72a_0155_4620_b3"/>
      <w:bookmarkStart w:id="30" w:name="_PROCESSED_CHANGE__3011923a_eddc_4911_a0"/>
      <w:bookmarkStart w:id="31" w:name="_PROCESSED_CHANGE__ed4e0563_7d22_4339_af"/>
      <w:bookmarkStart w:id="32" w:name="_PROCESSED_CHANGE__6c3b5c52_9a60_42a8_ae"/>
      <w:r>
        <w:rPr>
          <w:rFonts w:ascii="Arial" w:eastAsia="Arial" w:hAnsi="Arial" w:cs="Arial"/>
          <w:u w:val="single"/>
        </w:rPr>
        <w:t>A</w:t>
      </w:r>
      <w:bookmarkEnd w:id="25"/>
      <w:r>
        <w:rPr>
          <w:rFonts w:ascii="Arial" w:eastAsia="Arial" w:hAnsi="Arial" w:cs="Arial"/>
          <w:u w:val="single"/>
        </w:rPr>
        <w:t xml:space="preserve">.  </w:t>
      </w:r>
      <w:bookmarkStart w:id="33" w:name="_STATUTE_CONTENT__73610d7a_eab1_4186_a4f"/>
      <w:r>
        <w:rPr>
          <w:rFonts w:ascii="Arial" w:eastAsia="Arial" w:hAnsi="Arial" w:cs="Arial"/>
          <w:u w:val="single"/>
        </w:rPr>
        <w:t>A prosthetic device determined by the enrollee's provider, in accordance with section 4301‑A, subsection 10‑A, to be the most appropriate model that adequately meets the medical needs of the enrollee; and</w:t>
      </w:r>
    </w:p>
    <w:p w:rsidR="00BD3B56" w:rsidP="00BD3B56">
      <w:pPr>
        <w:ind w:left="720"/>
        <w:rPr>
          <w:rFonts w:ascii="Arial" w:eastAsia="Arial" w:hAnsi="Arial" w:cs="Arial"/>
        </w:rPr>
      </w:pPr>
      <w:bookmarkStart w:id="34" w:name="_STATUTE_NUMBER__1c69aee4_0b07_4ccd_9b27"/>
      <w:bookmarkStart w:id="35" w:name="_STATUTE_P__b2af97f8_0024_4595_b052_d7ff"/>
      <w:bookmarkStart w:id="36" w:name="_REV__d3041b1d_b0d8_4958_b423_6460a03607"/>
      <w:bookmarkEnd w:id="26"/>
      <w:bookmarkEnd w:id="27"/>
      <w:bookmarkEnd w:id="33"/>
      <w:r>
        <w:rPr>
          <w:rFonts w:ascii="Arial" w:eastAsia="Arial" w:hAnsi="Arial" w:cs="Arial"/>
          <w:u w:val="single"/>
        </w:rPr>
        <w:t>B</w:t>
      </w:r>
      <w:bookmarkEnd w:id="34"/>
      <w:r>
        <w:rPr>
          <w:rFonts w:ascii="Arial" w:eastAsia="Arial" w:hAnsi="Arial" w:cs="Arial"/>
          <w:u w:val="single"/>
        </w:rPr>
        <w:t xml:space="preserve">.  </w:t>
      </w:r>
      <w:bookmarkStart w:id="37" w:name="_STATUTE_CONTENT__bf33d523_6689_423a_a1e"/>
      <w:r>
        <w:rPr>
          <w:rFonts w:ascii="Arial" w:eastAsia="Arial" w:hAnsi="Arial" w:cs="Arial"/>
          <w:u w:val="single"/>
        </w:rPr>
        <w:t>With respect to a</w:t>
      </w:r>
      <w:r>
        <w:rPr>
          <w:rFonts w:ascii="Arial" w:eastAsia="Arial" w:hAnsi="Arial" w:cs="Arial"/>
          <w:u w:val="single"/>
        </w:rPr>
        <w:t>n enrollee under 18 years of age, in addition to coverage of a prosthetic device required by paragraph A, a prosthetic device determined by the enrollee's provider, in accordance with section 4301‑A, subsection 10‑A, to be the most appropriate model that meets the medical needs of the enrollee for recreational purposes, as applicable, to maximize the enrollee’s ability to ambulate, run, bike and swim and to maximize upper limb function.</w:t>
      </w:r>
    </w:p>
    <w:p w:rsidR="00BD3B56" w:rsidP="00BD3B56">
      <w:pPr>
        <w:ind w:left="360" w:firstLine="360"/>
        <w:rPr>
          <w:rFonts w:ascii="Arial" w:eastAsia="Arial" w:hAnsi="Arial" w:cs="Arial"/>
        </w:rPr>
      </w:pPr>
      <w:bookmarkStart w:id="38" w:name="_BILL_SECTION_HEADER__90d794c7_8dc8_451c"/>
      <w:bookmarkStart w:id="39" w:name="_BILL_SECTION__639e6872_05f9_474e_bd68_0"/>
      <w:bookmarkEnd w:id="4"/>
      <w:bookmarkEnd w:id="9"/>
      <w:bookmarkEnd w:id="28"/>
      <w:bookmarkEnd w:id="29"/>
      <w:bookmarkEnd w:id="30"/>
      <w:bookmarkEnd w:id="31"/>
      <w:bookmarkEnd w:id="32"/>
      <w:bookmarkEnd w:id="35"/>
      <w:bookmarkEnd w:id="36"/>
      <w:bookmarkEnd w:id="37"/>
      <w:r>
        <w:rPr>
          <w:rFonts w:ascii="Arial" w:eastAsia="Arial" w:hAnsi="Arial" w:cs="Arial"/>
          <w:b/>
          <w:sz w:val="24"/>
        </w:rPr>
        <w:t xml:space="preserve">Sec. </w:t>
      </w:r>
      <w:bookmarkStart w:id="40" w:name="_BILL_SECTION_NUMBER__60ad95ed_7ef0_489b"/>
      <w:r>
        <w:rPr>
          <w:rFonts w:ascii="Arial" w:eastAsia="Arial" w:hAnsi="Arial" w:cs="Arial"/>
          <w:b/>
          <w:sz w:val="24"/>
        </w:rPr>
        <w:t>2</w:t>
      </w:r>
      <w:bookmarkEnd w:id="40"/>
      <w:r>
        <w:rPr>
          <w:rFonts w:ascii="Arial" w:eastAsia="Arial" w:hAnsi="Arial" w:cs="Arial"/>
          <w:b/>
          <w:sz w:val="24"/>
        </w:rPr>
        <w:t>.  24-A MRSA §4315, sub-§6,</w:t>
      </w:r>
      <w:r>
        <w:rPr>
          <w:rFonts w:ascii="Arial" w:eastAsia="Arial" w:hAnsi="Arial" w:cs="Arial"/>
        </w:rPr>
        <w:t xml:space="preserve"> as amended by PL 2009, c. 603, §1 and affected by §2, is further amended to read:</w:t>
      </w:r>
    </w:p>
    <w:p w:rsidR="00BD3B56" w:rsidP="00BD3B56">
      <w:pPr>
        <w:ind w:left="360" w:firstLine="360"/>
        <w:rPr>
          <w:rFonts w:ascii="Arial" w:eastAsia="Arial" w:hAnsi="Arial" w:cs="Arial"/>
        </w:rPr>
      </w:pPr>
      <w:bookmarkStart w:id="41" w:name="_STATUTE_NUMBER__be298971_bcea_486c_a2bf"/>
      <w:bookmarkStart w:id="42" w:name="_STATUTE_SS__22c92708_4ac0_42c4_afa3_182"/>
      <w:bookmarkEnd w:id="38"/>
      <w:r>
        <w:rPr>
          <w:rFonts w:ascii="Arial" w:eastAsia="Arial" w:hAnsi="Arial" w:cs="Arial"/>
          <w:b/>
        </w:rPr>
        <w:t>6</w:t>
      </w:r>
      <w:bookmarkEnd w:id="41"/>
      <w:r>
        <w:rPr>
          <w:rFonts w:ascii="Arial" w:eastAsia="Arial" w:hAnsi="Arial" w:cs="Arial"/>
          <w:b/>
        </w:rPr>
        <w:t xml:space="preserve">.  </w:t>
      </w:r>
      <w:bookmarkStart w:id="43" w:name="_STATUTE_HEADNOTE__7b9888d6_c8ae_4b6f_99"/>
      <w:r>
        <w:rPr>
          <w:rFonts w:ascii="Arial" w:eastAsia="Arial" w:hAnsi="Arial" w:cs="Arial"/>
          <w:b/>
        </w:rPr>
        <w:t>Exclusions.</w:t>
      </w:r>
      <w:bookmarkEnd w:id="43"/>
      <w:r>
        <w:rPr>
          <w:rFonts w:ascii="Arial" w:eastAsia="Arial" w:hAnsi="Arial" w:cs="Arial"/>
          <w:b/>
        </w:rPr>
        <w:t xml:space="preserve"> </w:t>
      </w:r>
      <w:r>
        <w:rPr>
          <w:rFonts w:ascii="Arial" w:eastAsia="Arial" w:hAnsi="Arial" w:cs="Arial"/>
        </w:rPr>
        <w:t xml:space="preserve"> </w:t>
      </w:r>
      <w:bookmarkStart w:id="44" w:name="_REV__d17cfb99_ee5e_4de5_a0fd_6d1b015603"/>
      <w:bookmarkStart w:id="45" w:name="_PROCESSED_CHANGE__1abbfd8c_9f2b_4d1f_a3"/>
      <w:bookmarkStart w:id="46" w:name="_PROCESSED_CHANGE__789b61ef_a09d_4256_89"/>
      <w:bookmarkStart w:id="47" w:name="_PROCESSED_CHANGE__554f9ac7_024a_4c1d_bf"/>
      <w:bookmarkStart w:id="48" w:name="_PROCESSED_CHANGE__b5de2b6d_456d_40d3_a5"/>
      <w:bookmarkStart w:id="49" w:name="_PROCESSED_CHANGE__869ced42_fcff_4791_80"/>
      <w:bookmarkStart w:id="50" w:name="_STATUTE_CONTENT__cce40cee_f368_49c2_bd7"/>
      <w:r>
        <w:rPr>
          <w:rFonts w:ascii="Arial" w:eastAsia="Arial" w:hAnsi="Arial" w:cs="Arial"/>
          <w:strike/>
        </w:rPr>
        <w:t>Coverage</w:t>
      </w:r>
      <w:r>
        <w:rPr>
          <w:rFonts w:ascii="Arial" w:eastAsia="Arial" w:hAnsi="Arial" w:cs="Arial"/>
        </w:rPr>
        <w:t xml:space="preserve"> </w:t>
      </w:r>
      <w:bookmarkStart w:id="51" w:name="_REV__a6791f60_8d0a_4f28_82d7_823a31bfcc"/>
      <w:bookmarkStart w:id="52" w:name="_PROCESSED_CHANGE__f7e7b330_4ada_4ceb_a8"/>
      <w:bookmarkStart w:id="53" w:name="_PROCESSED_CHANGE__3a39f364_dfb1_476f_97"/>
      <w:bookmarkStart w:id="54" w:name="_PROCESSED_CHANGE__b29fea19_2c3d_4964_ba"/>
      <w:bookmarkStart w:id="55" w:name="_PROCESSED_CHANGE__b576f530_5294_4f47_a0"/>
      <w:bookmarkStart w:id="56" w:name="_PROCESSED_CHANGE__90a06af7_c511_453e_9e"/>
      <w:bookmarkEnd w:id="44"/>
      <w:bookmarkEnd w:id="45"/>
      <w:bookmarkEnd w:id="46"/>
      <w:bookmarkEnd w:id="47"/>
      <w:bookmarkEnd w:id="48"/>
      <w:bookmarkEnd w:id="49"/>
      <w:r>
        <w:rPr>
          <w:rFonts w:ascii="Arial" w:eastAsia="Arial" w:hAnsi="Arial" w:cs="Arial"/>
          <w:u w:val="single"/>
        </w:rPr>
        <w:t>Except as provided in subsection 2, paragraph B for an enrollee under 18 years of age, coverage</w:t>
      </w:r>
      <w:r w:rsidRPr="00140252">
        <w:rPr>
          <w:rFonts w:ascii="Arial" w:eastAsia="Arial" w:hAnsi="Arial" w:cs="Arial"/>
        </w:rPr>
        <w:t xml:space="preserve"> </w:t>
      </w:r>
      <w:bookmarkEnd w:id="51"/>
      <w:bookmarkEnd w:id="52"/>
      <w:bookmarkEnd w:id="53"/>
      <w:bookmarkEnd w:id="54"/>
      <w:bookmarkEnd w:id="55"/>
      <w:bookmarkEnd w:id="56"/>
      <w:r>
        <w:rPr>
          <w:rFonts w:ascii="Arial" w:eastAsia="Arial" w:hAnsi="Arial" w:cs="Arial"/>
        </w:rPr>
        <w:t xml:space="preserve">is not required pursuant to this section for a prosthetic device that is designed exclusively for </w:t>
      </w:r>
      <w:bookmarkStart w:id="57" w:name="_REV__e19685a7_eabc_4675_a095_6b61b521e7"/>
      <w:bookmarkStart w:id="58" w:name="_PROCESSED_CHANGE__aa7eb7dd_7632_4bc4_8d"/>
      <w:bookmarkStart w:id="59" w:name="_PROCESSED_CHANGE__390e2dcc_3aa6_440e_96"/>
      <w:bookmarkStart w:id="60" w:name="_PROCESSED_CHANGE__662326e7_1367_4e0a_94"/>
      <w:bookmarkStart w:id="61" w:name="_PROCESSED_CHANGE__e933e1df_b975_4f8e_bc"/>
      <w:bookmarkStart w:id="62" w:name="_PROCESSED_CHANGE__37b2c15e_2f37_42ad_b9"/>
      <w:r>
        <w:rPr>
          <w:rFonts w:ascii="Arial" w:eastAsia="Arial" w:hAnsi="Arial" w:cs="Arial"/>
          <w:u w:val="single"/>
        </w:rPr>
        <w:t>an</w:t>
      </w:r>
      <w:r>
        <w:rPr>
          <w:rFonts w:ascii="Arial" w:eastAsia="Arial" w:hAnsi="Arial" w:cs="Arial"/>
        </w:rPr>
        <w:t xml:space="preserve"> </w:t>
      </w:r>
      <w:bookmarkEnd w:id="57"/>
      <w:bookmarkEnd w:id="58"/>
      <w:bookmarkEnd w:id="59"/>
      <w:bookmarkEnd w:id="60"/>
      <w:bookmarkEnd w:id="61"/>
      <w:bookmarkEnd w:id="62"/>
      <w:r>
        <w:rPr>
          <w:rFonts w:ascii="Arial" w:eastAsia="Arial" w:hAnsi="Arial" w:cs="Arial"/>
        </w:rPr>
        <w:t>athletic</w:t>
      </w:r>
      <w:bookmarkStart w:id="63" w:name="_REV__2f488a61_d456_449c_a7ba_a475a03c5e"/>
      <w:bookmarkStart w:id="64" w:name="_PROCESSED_CHANGE__99e89d3a_8476_44df_8e"/>
      <w:bookmarkStart w:id="65" w:name="_PROCESSED_CHANGE__7c1c34bc_1fc7_485b_a4"/>
      <w:bookmarkStart w:id="66" w:name="_PROCESSED_CHANGE__7bdcea0c_e302_4336_81"/>
      <w:bookmarkStart w:id="67" w:name="_PROCESSED_CHANGE__e181b811_5e95_4d8e_83"/>
      <w:bookmarkStart w:id="68" w:name="_PROCESSED_CHANGE__5b15123b_cb9f_439f_a2"/>
      <w:r>
        <w:rPr>
          <w:rFonts w:ascii="Arial" w:eastAsia="Arial" w:hAnsi="Arial" w:cs="Arial"/>
        </w:rPr>
        <w:t xml:space="preserve"> </w:t>
      </w:r>
      <w:r>
        <w:rPr>
          <w:rFonts w:ascii="Arial" w:eastAsia="Arial" w:hAnsi="Arial" w:cs="Arial"/>
          <w:strike/>
        </w:rPr>
        <w:t>purposes</w:t>
      </w:r>
      <w:bookmarkStart w:id="69" w:name="_REV__094a99ce_38b1_49c1_a641_b1ec52eaf5"/>
      <w:bookmarkStart w:id="70" w:name="_PROCESSED_CHANGE__6430de01_4fee_46ca_9a"/>
      <w:bookmarkStart w:id="71" w:name="_PROCESSED_CHANGE__6f4e130f_9e9f_4f68_b2"/>
      <w:bookmarkStart w:id="72" w:name="_PROCESSED_CHANGE__c54cbd1c_085d_4951_aa"/>
      <w:bookmarkStart w:id="73" w:name="_PROCESSED_CHANGE__7823f0ec_f236_4f2d_b1"/>
      <w:bookmarkStart w:id="74" w:name="_PROCESSED_CHANGE__ae33739c_8a8a_49ec_81"/>
      <w:bookmarkEnd w:id="63"/>
      <w:bookmarkEnd w:id="64"/>
      <w:bookmarkEnd w:id="65"/>
      <w:bookmarkEnd w:id="66"/>
      <w:bookmarkEnd w:id="67"/>
      <w:bookmarkEnd w:id="68"/>
      <w:r>
        <w:rPr>
          <w:rFonts w:ascii="Arial" w:eastAsia="Arial" w:hAnsi="Arial" w:cs="Arial"/>
        </w:rPr>
        <w:t xml:space="preserve"> </w:t>
      </w:r>
      <w:r>
        <w:rPr>
          <w:rFonts w:ascii="Arial" w:eastAsia="Arial" w:hAnsi="Arial" w:cs="Arial"/>
          <w:u w:val="single"/>
        </w:rPr>
        <w:t>purpose</w:t>
      </w:r>
      <w:bookmarkEnd w:id="69"/>
      <w:bookmarkEnd w:id="70"/>
      <w:bookmarkEnd w:id="71"/>
      <w:bookmarkEnd w:id="72"/>
      <w:bookmarkEnd w:id="73"/>
      <w:bookmarkEnd w:id="74"/>
      <w:r>
        <w:rPr>
          <w:rFonts w:ascii="Arial" w:eastAsia="Arial" w:hAnsi="Arial" w:cs="Arial"/>
        </w:rPr>
        <w:t>.</w:t>
      </w:r>
      <w:bookmarkEnd w:id="50"/>
    </w:p>
    <w:p w:rsidR="00BD3B56" w:rsidP="00BD3B56">
      <w:pPr>
        <w:ind w:left="360" w:firstLine="360"/>
        <w:rPr>
          <w:rFonts w:ascii="Arial" w:eastAsia="Arial" w:hAnsi="Arial" w:cs="Arial"/>
        </w:rPr>
      </w:pPr>
      <w:bookmarkStart w:id="75" w:name="_BILL_SECTION_HEADER__997e0283_e09c_4db9"/>
      <w:bookmarkStart w:id="76" w:name="_INSTRUCTION__e097cf6c_f4ac_4891_a073_3e"/>
      <w:bookmarkStart w:id="77" w:name="_BILL_SECTION__bc0220f1_4ee4_4aa6_bcb9_8"/>
      <w:bookmarkEnd w:id="39"/>
      <w:bookmarkEnd w:id="42"/>
      <w:r>
        <w:rPr>
          <w:rFonts w:ascii="Arial" w:eastAsia="Arial" w:hAnsi="Arial" w:cs="Arial"/>
          <w:b/>
          <w:sz w:val="24"/>
        </w:rPr>
        <w:t xml:space="preserve">Sec. </w:t>
      </w:r>
      <w:bookmarkStart w:id="78" w:name="_BILL_SECTION_NUMBER__79b78e2a_f9ef_4de1"/>
      <w:r>
        <w:rPr>
          <w:rFonts w:ascii="Arial" w:eastAsia="Arial" w:hAnsi="Arial" w:cs="Arial"/>
          <w:b/>
          <w:sz w:val="24"/>
        </w:rPr>
        <w:t>3</w:t>
      </w:r>
      <w:bookmarkEnd w:id="78"/>
      <w:r>
        <w:rPr>
          <w:rFonts w:ascii="Arial" w:eastAsia="Arial" w:hAnsi="Arial" w:cs="Arial"/>
          <w:b/>
          <w:sz w:val="24"/>
        </w:rPr>
        <w:t>.  24-A MRSA §4315, sub-§9</w:t>
      </w:r>
      <w:r>
        <w:rPr>
          <w:rFonts w:ascii="Arial" w:eastAsia="Arial" w:hAnsi="Arial" w:cs="Arial"/>
        </w:rPr>
        <w:t xml:space="preserve"> is enacted to read:</w:t>
      </w:r>
    </w:p>
    <w:p w:rsidR="00BD3B56" w:rsidP="00BD3B56">
      <w:pPr>
        <w:ind w:left="360" w:firstLine="360"/>
        <w:rPr>
          <w:rFonts w:ascii="Arial" w:eastAsia="Arial" w:hAnsi="Arial" w:cs="Arial"/>
        </w:rPr>
      </w:pPr>
      <w:bookmarkStart w:id="79" w:name="_STATUTE_NUMBER__215a7dcf_abd2_4eca_a3c5"/>
      <w:bookmarkStart w:id="80" w:name="_REV__c8877d80_2d40_4ed0_b3bb_e267bc4ade"/>
      <w:bookmarkStart w:id="81" w:name="_STATUTE_SS__220362fb_05ec_4ee7_88a9_13b"/>
      <w:bookmarkEnd w:id="75"/>
      <w:r>
        <w:rPr>
          <w:rFonts w:ascii="Arial" w:eastAsia="Arial" w:hAnsi="Arial" w:cs="Arial"/>
          <w:b/>
          <w:u w:val="single"/>
        </w:rPr>
        <w:t>9</w:t>
      </w:r>
      <w:bookmarkEnd w:id="79"/>
      <w:r>
        <w:rPr>
          <w:rFonts w:ascii="Arial" w:eastAsia="Arial" w:hAnsi="Arial" w:cs="Arial"/>
          <w:b/>
          <w:u w:val="single"/>
        </w:rPr>
        <w:t xml:space="preserve">.  </w:t>
      </w:r>
      <w:bookmarkStart w:id="82" w:name="_STATUTE_HEADNOTE__f0911c60_6bc3_4ae1_b6"/>
      <w:r>
        <w:rPr>
          <w:rFonts w:ascii="Arial" w:eastAsia="Arial" w:hAnsi="Arial" w:cs="Arial"/>
          <w:b/>
          <w:u w:val="single"/>
        </w:rPr>
        <w:t xml:space="preserve">Report. </w:t>
      </w:r>
      <w:r>
        <w:rPr>
          <w:rFonts w:ascii="Arial" w:eastAsia="Arial" w:hAnsi="Arial" w:cs="Arial"/>
          <w:u w:val="single"/>
        </w:rPr>
        <w:t xml:space="preserve"> </w:t>
      </w:r>
      <w:bookmarkStart w:id="83" w:name="_STATUTE_CONTENT__2a328be1_3b29_4b44_ae1"/>
      <w:bookmarkEnd w:id="82"/>
      <w:r>
        <w:rPr>
          <w:rFonts w:ascii="Arial" w:eastAsia="Arial" w:hAnsi="Arial" w:cs="Arial"/>
          <w:u w:val="single"/>
        </w:rPr>
        <w:t>No later than June 30, 202</w:t>
      </w:r>
      <w:r>
        <w:rPr>
          <w:rFonts w:ascii="Arial" w:eastAsia="Arial" w:hAnsi="Arial" w:cs="Arial"/>
          <w:u w:val="single"/>
        </w:rPr>
        <w:t>8</w:t>
      </w:r>
      <w:r>
        <w:rPr>
          <w:rFonts w:ascii="Arial" w:eastAsia="Arial" w:hAnsi="Arial" w:cs="Arial"/>
          <w:u w:val="single"/>
        </w:rPr>
        <w:t>, each carrier that issues a health plan subject to this section shall report to the superintendent on its experience pursuant to this section for plan years 2024, 2025</w:t>
      </w:r>
      <w:r>
        <w:rPr>
          <w:rFonts w:ascii="Arial" w:eastAsia="Arial" w:hAnsi="Arial" w:cs="Arial"/>
          <w:u w:val="single"/>
        </w:rPr>
        <w:t>,</w:t>
      </w:r>
      <w:r>
        <w:rPr>
          <w:rFonts w:ascii="Arial" w:eastAsia="Arial" w:hAnsi="Arial" w:cs="Arial"/>
          <w:u w:val="single"/>
        </w:rPr>
        <w:t xml:space="preserve"> 2026</w:t>
      </w:r>
      <w:r>
        <w:rPr>
          <w:rFonts w:ascii="Arial" w:eastAsia="Arial" w:hAnsi="Arial" w:cs="Arial"/>
          <w:u w:val="single"/>
        </w:rPr>
        <w:t xml:space="preserve"> and 2027</w:t>
      </w:r>
      <w:r>
        <w:rPr>
          <w:rFonts w:ascii="Arial" w:eastAsia="Arial" w:hAnsi="Arial" w:cs="Arial"/>
          <w:u w:val="single"/>
        </w:rPr>
        <w:t>.  The report must be in a form prescribed by the superintendent and must include the number of claims and the total amount of claims paid in this State for the services required by this section.  The superintendent shall aggregate this data by plan year in a report and submit the report to the joint standing committee of the Legislature having jurisdiction over health coverage and insurance matters no later than November 1, 202</w:t>
      </w:r>
      <w:r>
        <w:rPr>
          <w:rFonts w:ascii="Arial" w:eastAsia="Arial" w:hAnsi="Arial" w:cs="Arial"/>
          <w:u w:val="single"/>
        </w:rPr>
        <w:t>8</w:t>
      </w:r>
      <w:r>
        <w:rPr>
          <w:rFonts w:ascii="Arial" w:eastAsia="Arial" w:hAnsi="Arial" w:cs="Arial"/>
          <w:u w:val="single"/>
        </w:rPr>
        <w:t>.</w:t>
      </w:r>
      <w:bookmarkEnd w:id="76"/>
    </w:p>
    <w:p w:rsidR="00BD3B56" w:rsidP="00BD3B56">
      <w:pPr>
        <w:ind w:left="360" w:firstLine="360"/>
        <w:rPr>
          <w:rFonts w:ascii="Arial" w:eastAsia="Arial" w:hAnsi="Arial" w:cs="Arial"/>
        </w:rPr>
      </w:pPr>
      <w:bookmarkStart w:id="84" w:name="_BILL_SECTION_UNALLOCATED__2608b1d7_115c"/>
      <w:bookmarkEnd w:id="77"/>
      <w:bookmarkEnd w:id="80"/>
      <w:bookmarkEnd w:id="81"/>
      <w:bookmarkEnd w:id="83"/>
      <w:r>
        <w:rPr>
          <w:rFonts w:ascii="Arial" w:eastAsia="Arial" w:hAnsi="Arial" w:cs="Arial"/>
          <w:b/>
          <w:sz w:val="24"/>
        </w:rPr>
        <w:t xml:space="preserve">Sec. </w:t>
      </w:r>
      <w:bookmarkStart w:id="85" w:name="_BILL_SECTION_NUMBER__c96439e7_44dc_443d"/>
      <w:r>
        <w:rPr>
          <w:rFonts w:ascii="Arial" w:eastAsia="Arial" w:hAnsi="Arial" w:cs="Arial"/>
          <w:b/>
          <w:sz w:val="24"/>
        </w:rPr>
        <w:t>4</w:t>
      </w:r>
      <w:bookmarkEnd w:id="85"/>
      <w:r>
        <w:rPr>
          <w:rFonts w:ascii="Arial" w:eastAsia="Arial" w:hAnsi="Arial" w:cs="Arial"/>
          <w:b/>
          <w:sz w:val="24"/>
        </w:rPr>
        <w:t>.</w:t>
      </w:r>
      <w:r>
        <w:rPr>
          <w:rFonts w:ascii="Arial" w:eastAsia="Arial" w:hAnsi="Arial" w:cs="Arial"/>
        </w:rPr>
        <w:t xml:space="preserve">  </w:t>
      </w:r>
      <w:r w:rsidRPr="00140252">
        <w:rPr>
          <w:rFonts w:ascii="Arial" w:eastAsia="Arial" w:hAnsi="Arial" w:cs="Arial"/>
          <w:b/>
          <w:sz w:val="24"/>
          <w:szCs w:val="24"/>
        </w:rPr>
        <w:t>No addition to State's essential health benefits; legislative finding.</w:t>
      </w:r>
      <w:r w:rsidRPr="00140252">
        <w:rPr>
          <w:rFonts w:ascii="Arial" w:eastAsia="Arial" w:hAnsi="Arial" w:cs="Arial"/>
        </w:rPr>
        <w:t xml:space="preserve"> The </w:t>
      </w:r>
      <w:r>
        <w:rPr>
          <w:rFonts w:ascii="Arial" w:eastAsia="Arial" w:hAnsi="Arial" w:cs="Arial"/>
        </w:rPr>
        <w:t xml:space="preserve">Legislature finds that the </w:t>
      </w:r>
      <w:r w:rsidRPr="00140252">
        <w:rPr>
          <w:rFonts w:ascii="Arial" w:eastAsia="Arial" w:hAnsi="Arial" w:cs="Arial"/>
        </w:rPr>
        <w:t>requirements of this Act do not constitute an addition to the State's essential health benefits that requires defrayal of costs by the State pursuant to 42 United States Code, Section 18031(d)(3)(B)</w:t>
      </w:r>
      <w:r>
        <w:rPr>
          <w:rFonts w:ascii="Arial" w:eastAsia="Arial" w:hAnsi="Arial" w:cs="Arial"/>
        </w:rPr>
        <w:t xml:space="preserve"> because the requirements clarify that the law requiring a health insurance carrier to provide coverage for prosthetic devices to meet the medical needs of an enrollee under 18 years of age includes a prosthetic device designed to meet the enrollee's medical needs for recreational purposes</w:t>
      </w:r>
      <w:r w:rsidRPr="00140252">
        <w:rPr>
          <w:rFonts w:ascii="Arial" w:eastAsia="Arial" w:hAnsi="Arial" w:cs="Arial"/>
        </w:rPr>
        <w:t>.</w:t>
      </w:r>
    </w:p>
    <w:p w:rsidR="00000000" w:rsidP="00BD3B56">
      <w:pPr>
        <w:ind w:left="360" w:firstLine="360"/>
        <w:rPr>
          <w:rFonts w:ascii="Arial" w:eastAsia="Arial" w:hAnsi="Arial" w:cs="Arial"/>
        </w:rPr>
      </w:pPr>
      <w:bookmarkStart w:id="86" w:name="_BILL_SECTION_UNALLOCATED__c1c01169_9663"/>
      <w:bookmarkEnd w:id="84"/>
      <w:r>
        <w:rPr>
          <w:rFonts w:ascii="Arial" w:eastAsia="Arial" w:hAnsi="Arial" w:cs="Arial"/>
          <w:b/>
          <w:sz w:val="24"/>
        </w:rPr>
        <w:t xml:space="preserve">Sec. </w:t>
      </w:r>
      <w:bookmarkStart w:id="87" w:name="_BILL_SECTION_NUMBER__776b43b8_de4e_489d"/>
      <w:r>
        <w:rPr>
          <w:rFonts w:ascii="Arial" w:eastAsia="Arial" w:hAnsi="Arial" w:cs="Arial"/>
          <w:b/>
          <w:sz w:val="24"/>
        </w:rPr>
        <w:t>5</w:t>
      </w:r>
      <w:bookmarkEnd w:id="87"/>
      <w:r>
        <w:rPr>
          <w:rFonts w:ascii="Arial" w:eastAsia="Arial" w:hAnsi="Arial" w:cs="Arial"/>
          <w:b/>
          <w:sz w:val="24"/>
        </w:rPr>
        <w:t>.</w:t>
      </w:r>
      <w:r>
        <w:rPr>
          <w:rFonts w:ascii="Arial" w:eastAsia="Arial" w:hAnsi="Arial" w:cs="Arial"/>
        </w:rPr>
        <w:t xml:space="preserve">  </w:t>
      </w:r>
      <w:r w:rsidRPr="00140252">
        <w:rPr>
          <w:rFonts w:ascii="Arial" w:eastAsia="Arial" w:hAnsi="Arial" w:cs="Arial"/>
          <w:b/>
          <w:sz w:val="24"/>
          <w:szCs w:val="24"/>
        </w:rPr>
        <w:t>Application.</w:t>
      </w:r>
      <w:r w:rsidRPr="00140252">
        <w:rPr>
          <w:rFonts w:ascii="Arial" w:eastAsia="Arial" w:hAnsi="Arial" w:cs="Arial"/>
        </w:rPr>
        <w:t xml:space="preserve"> </w:t>
      </w:r>
      <w:r>
        <w:rPr>
          <w:rFonts w:ascii="Arial" w:eastAsia="Arial" w:hAnsi="Arial" w:cs="Arial"/>
        </w:rPr>
        <w:t xml:space="preserve"> </w:t>
      </w:r>
      <w:r w:rsidRPr="00140252">
        <w:rPr>
          <w:rFonts w:ascii="Arial" w:eastAsia="Arial" w:hAnsi="Arial" w:cs="Arial"/>
        </w:rPr>
        <w:t xml:space="preserve">The requirements of this Act apply to all policies, contracts and certificates executed, delivered, issued for delivery, continued or renewed in this State on or after January 1, </w:t>
      </w:r>
      <w:r>
        <w:rPr>
          <w:rFonts w:ascii="Arial" w:eastAsia="Arial" w:hAnsi="Arial" w:cs="Arial"/>
        </w:rPr>
        <w:t>2024</w:t>
      </w:r>
      <w:r w:rsidRPr="00140252">
        <w:rPr>
          <w:rFonts w:ascii="Arial" w:eastAsia="Arial" w:hAnsi="Arial" w:cs="Arial"/>
        </w:rPr>
        <w:t>. For purposes of this Act, all contracts are deemed to be renewed no later than the next yearly anniversary of the contract date.</w:t>
      </w:r>
      <w:bookmarkEnd w:id="2"/>
      <w:bookmarkEnd w:id="5"/>
      <w:bookmarkEnd w:id="6"/>
      <w:bookmarkEnd w:id="8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LR1214,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Improve Outcomes for Persons with Limb Loss</w:t>
    </w:r>
  </w:p>
  <w:p>
    <w:pPr>
      <w:suppressLineNumbers/>
      <w:spacing w:before="0" w:after="0"/>
      <w:jc w:val="center"/>
      <w:rPr>
        <w:rFonts w:ascii="Arial" w:eastAsia="Arial" w:hAnsi="Arial" w:cs="Arial"/>
      </w:rPr>
    </w:pPr>
    <w:r>
      <w:rPr>
        <w:rFonts w:ascii="Arial" w:eastAsia="Arial" w:hAnsi="Arial" w:cs="Arial"/>
        <w:sz w:val="22"/>
      </w:rPr>
      <w:t>L.D. 1003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0252"/>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D3B56"/>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