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Appliance Energy and Water Standards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696 - L.D. 940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Appliance Energy and Water Standards</w:t>
      </w:r>
    </w:p>
    <w:p w:rsidR="001D4EED" w:rsidP="001D4EED">
      <w:pPr>
        <w:ind w:left="360"/>
        <w:rPr>
          <w:rFonts w:ascii="Arial" w:eastAsia="Arial" w:hAnsi="Arial" w:cs="Arial"/>
        </w:rPr>
      </w:pPr>
      <w:bookmarkStart w:id="0" w:name="_ENACTING_CLAUSE__9ee93230_07bb_4ed2_8a2"/>
      <w:bookmarkStart w:id="1" w:name="_PAR__1_d0d95782_d845_4f0e_ba0a_1d49c158"/>
      <w:bookmarkStart w:id="2" w:name="_DOC_BODY_CONTAINER__dbb0dd58_50bf_470d_"/>
      <w:r>
        <w:rPr>
          <w:rFonts w:ascii="Arial" w:eastAsia="Arial" w:hAnsi="Arial" w:cs="Arial"/>
          <w:b/>
        </w:rPr>
        <w:t>Be it enacted by the People of the State of Maine as follows:</w:t>
      </w:r>
    </w:p>
    <w:p w:rsidR="001D4EED" w:rsidP="001D4EED">
      <w:pPr>
        <w:ind w:left="360" w:firstLine="360"/>
        <w:rPr>
          <w:rFonts w:ascii="Arial" w:eastAsia="Arial" w:hAnsi="Arial" w:cs="Arial"/>
        </w:rPr>
      </w:pPr>
      <w:bookmarkStart w:id="3" w:name="_BILL_SECTION_HEADER__ff173f21_7ddc_499d"/>
      <w:bookmarkStart w:id="4" w:name="_INSTRUCTION__f3b2cae3_4413_4a88_8880_5d"/>
      <w:bookmarkStart w:id="5" w:name="_BILL_SECTION__7758228a_24e2_4595_a345_c"/>
      <w:bookmarkStart w:id="6" w:name="_INSTRUCTION__7a9f9c6e_b559_4115_b2a6_fa"/>
      <w:bookmarkStart w:id="7" w:name="_DOC_BODY_CONTENT__787b2299_4332_4601_96"/>
      <w:bookmarkEnd w:id="0"/>
      <w:bookmarkEnd w:id="1"/>
      <w:r>
        <w:rPr>
          <w:rFonts w:ascii="Arial" w:eastAsia="Arial" w:hAnsi="Arial" w:cs="Arial"/>
          <w:b/>
          <w:sz w:val="24"/>
        </w:rPr>
        <w:t xml:space="preserve">Sec. </w:t>
      </w:r>
      <w:bookmarkStart w:id="8" w:name="_BILL_SECTION_NUMBER__5b3e7efc_d749_4bb7"/>
      <w:r>
        <w:rPr>
          <w:rFonts w:ascii="Arial" w:eastAsia="Arial" w:hAnsi="Arial" w:cs="Arial"/>
          <w:b/>
          <w:sz w:val="24"/>
        </w:rPr>
        <w:t>1</w:t>
      </w:r>
      <w:bookmarkEnd w:id="8"/>
      <w:r>
        <w:rPr>
          <w:rFonts w:ascii="Arial" w:eastAsia="Arial" w:hAnsi="Arial" w:cs="Arial"/>
          <w:b/>
          <w:sz w:val="24"/>
        </w:rPr>
        <w:t>.  38 MRSA §1613</w:t>
      </w:r>
      <w:r>
        <w:rPr>
          <w:rFonts w:ascii="Arial" w:eastAsia="Arial" w:hAnsi="Arial" w:cs="Arial"/>
        </w:rPr>
        <w:t xml:space="preserve"> is enacted to read:</w:t>
      </w:r>
    </w:p>
    <w:p w:rsidR="001D4EED" w:rsidRPr="00CB527B" w:rsidP="001D4EED">
      <w:pPr>
        <w:ind w:left="1080" w:hanging="720"/>
        <w:rPr>
          <w:rFonts w:ascii="Arial" w:eastAsia="Arial" w:hAnsi="Arial" w:cs="Arial"/>
        </w:rPr>
      </w:pPr>
      <w:bookmarkStart w:id="9" w:name="_REV__8fa272e2_888e_4283_93ed_df02e678c3"/>
      <w:bookmarkStart w:id="10" w:name="_STATUTE_S__37fb59e7_81b0_4853_b78c_7284"/>
      <w:bookmarkEnd w:id="3"/>
      <w:r w:rsidRPr="00CB527B">
        <w:rPr>
          <w:rFonts w:ascii="Arial" w:eastAsia="Arial" w:hAnsi="Arial" w:cs="Arial"/>
          <w:b/>
          <w:u w:val="single"/>
        </w:rPr>
        <w:t>§</w:t>
      </w:r>
      <w:bookmarkStart w:id="11" w:name="_STATUTE_NUMBER__18375de5_d519_4df6_b45a"/>
      <w:r w:rsidRPr="00CB527B">
        <w:rPr>
          <w:rFonts w:ascii="Arial" w:eastAsia="Arial" w:hAnsi="Arial" w:cs="Arial"/>
          <w:b/>
          <w:u w:val="single"/>
        </w:rPr>
        <w:t>1613</w:t>
      </w:r>
      <w:bookmarkEnd w:id="11"/>
      <w:r w:rsidRPr="00CB527B">
        <w:rPr>
          <w:rFonts w:ascii="Arial" w:eastAsia="Arial" w:hAnsi="Arial" w:cs="Arial"/>
          <w:b/>
          <w:u w:val="single"/>
        </w:rPr>
        <w:t xml:space="preserve">.  </w:t>
      </w:r>
      <w:bookmarkStart w:id="12" w:name="_STATUTE_HEADNOTE__f440548a_a10e_438f_a4"/>
      <w:r w:rsidRPr="00CB527B">
        <w:rPr>
          <w:rFonts w:ascii="Arial" w:eastAsia="Arial" w:hAnsi="Arial" w:cs="Arial"/>
          <w:b/>
          <w:u w:val="single"/>
        </w:rPr>
        <w:t>Appliance and product efficiency standards</w:t>
      </w:r>
      <w:bookmarkEnd w:id="12"/>
    </w:p>
    <w:p w:rsidR="001D4EED" w:rsidRPr="00CB527B" w:rsidP="001D4EED">
      <w:pPr>
        <w:ind w:left="360" w:firstLine="360"/>
        <w:rPr>
          <w:rFonts w:ascii="Arial" w:eastAsia="Arial" w:hAnsi="Arial" w:cs="Arial"/>
        </w:rPr>
      </w:pPr>
      <w:bookmarkStart w:id="13" w:name="_STATUTE_NUMBER__768106b7_0d94_45d7_a7a0"/>
      <w:bookmarkStart w:id="14" w:name="_REV__39857e45_33b4_49c4_a95f_d3a0bc759a"/>
      <w:bookmarkStart w:id="15" w:name="_STATUTE_SS__0f7a7991_d355_4913_8be3_41b"/>
      <w:bookmarkEnd w:id="9"/>
      <w:r w:rsidRPr="00CB527B">
        <w:rPr>
          <w:rFonts w:ascii="Arial" w:eastAsia="Arial" w:hAnsi="Arial" w:cs="Arial"/>
          <w:b/>
          <w:u w:val="single"/>
        </w:rPr>
        <w:t>1</w:t>
      </w:r>
      <w:bookmarkEnd w:id="13"/>
      <w:r w:rsidRPr="00CB527B">
        <w:rPr>
          <w:rFonts w:ascii="Arial" w:eastAsia="Arial" w:hAnsi="Arial" w:cs="Arial"/>
          <w:b/>
          <w:u w:val="single"/>
        </w:rPr>
        <w:t xml:space="preserve">.  </w:t>
      </w:r>
      <w:bookmarkStart w:id="16" w:name="_STATUTE_HEADNOTE__5444498c_6f37_4cb8_9a"/>
      <w:r w:rsidRPr="00CB527B">
        <w:rPr>
          <w:rFonts w:ascii="Arial" w:eastAsia="Arial" w:hAnsi="Arial" w:cs="Arial"/>
          <w:b/>
          <w:u w:val="single"/>
        </w:rPr>
        <w:t xml:space="preserve">Sale prohibition; appliances and products. </w:t>
      </w:r>
      <w:r>
        <w:rPr>
          <w:rFonts w:ascii="Arial" w:eastAsia="Arial" w:hAnsi="Arial" w:cs="Arial"/>
          <w:u w:val="single"/>
        </w:rPr>
        <w:t xml:space="preserve"> </w:t>
      </w:r>
      <w:bookmarkStart w:id="17" w:name="_STATUTE_CONTENT__d8a97bfb_5b63_4970_b89"/>
      <w:bookmarkEnd w:id="16"/>
      <w:r>
        <w:rPr>
          <w:rFonts w:ascii="Arial" w:eastAsia="Arial" w:hAnsi="Arial" w:cs="Arial"/>
          <w:u w:val="single"/>
        </w:rPr>
        <w:t>The following provisions apply to the sale or offering for sale in the State of certain new appliances and products.</w:t>
      </w:r>
    </w:p>
    <w:p w:rsidR="001D4EED" w:rsidRPr="00CB527B" w:rsidP="001D4EED">
      <w:pPr>
        <w:ind w:left="720"/>
        <w:rPr>
          <w:rFonts w:ascii="Arial" w:eastAsia="Arial" w:hAnsi="Arial" w:cs="Arial"/>
        </w:rPr>
      </w:pPr>
      <w:bookmarkStart w:id="18" w:name="_STATUTE_NUMBER__da509cb9_b425_4012_9993"/>
      <w:bookmarkStart w:id="19" w:name="_REV__ccc445e8_31e0_4814_86ca_e314e217bb"/>
      <w:bookmarkStart w:id="20" w:name="_STATUTE_P__4cf7fea4_74a5_424c_9038_f466"/>
      <w:bookmarkEnd w:id="14"/>
      <w:bookmarkEnd w:id="17"/>
      <w:r>
        <w:rPr>
          <w:rFonts w:ascii="Arial" w:eastAsia="Arial" w:hAnsi="Arial" w:cs="Arial"/>
          <w:u w:val="single"/>
        </w:rPr>
        <w:t>A</w:t>
      </w:r>
      <w:bookmarkEnd w:id="18"/>
      <w:r>
        <w:rPr>
          <w:rFonts w:ascii="Arial" w:eastAsia="Arial" w:hAnsi="Arial" w:cs="Arial"/>
          <w:u w:val="single"/>
        </w:rPr>
        <w:t xml:space="preserve">.  </w:t>
      </w:r>
      <w:bookmarkStart w:id="21" w:name="_STATUTE_CONTENT__e836a920_af76_4057_bb9"/>
      <w:r>
        <w:rPr>
          <w:rFonts w:ascii="Arial" w:eastAsia="Arial" w:hAnsi="Arial" w:cs="Arial"/>
          <w:u w:val="single"/>
        </w:rPr>
        <w:t>Except as provided in subsection 2, beginning January 1, 2023, a person may not sell or offer for sale in the State any of the following appliances and products manufactured on or after January 1, 2023 that are prohibited from sale in</w:t>
      </w:r>
      <w:r>
        <w:rPr>
          <w:rFonts w:ascii="Arial" w:eastAsia="Arial" w:hAnsi="Arial" w:cs="Arial"/>
          <w:u w:val="single"/>
        </w:rPr>
        <w:t xml:space="preserve"> rules adopted by the department in accordance with subsection 3</w:t>
      </w:r>
      <w:r>
        <w:rPr>
          <w:rFonts w:ascii="Arial" w:eastAsia="Arial" w:hAnsi="Arial" w:cs="Arial"/>
          <w:u w:val="single"/>
        </w:rPr>
        <w:t>:</w:t>
      </w:r>
    </w:p>
    <w:p w:rsidR="001D4EED" w:rsidRPr="00CB527B" w:rsidP="001D4EED">
      <w:pPr>
        <w:ind w:left="1080"/>
        <w:rPr>
          <w:rFonts w:ascii="Arial" w:eastAsia="Arial" w:hAnsi="Arial" w:cs="Arial"/>
        </w:rPr>
      </w:pPr>
      <w:bookmarkStart w:id="22" w:name="_STATUTE_SP__d8a3a113_d265_4385_888b_474"/>
      <w:bookmarkStart w:id="23" w:name="_REV__61d21cda_a9e0_4e25_9107_2055714848"/>
      <w:bookmarkEnd w:id="19"/>
      <w:bookmarkEnd w:id="21"/>
      <w:r>
        <w:rPr>
          <w:rFonts w:ascii="Arial" w:eastAsia="Arial" w:hAnsi="Arial" w:cs="Arial"/>
          <w:u w:val="single"/>
        </w:rPr>
        <w:t>(</w:t>
      </w:r>
      <w:bookmarkStart w:id="24" w:name="_STATUTE_NUMBER__4da0116a_c0c7_4d7e_bb51"/>
      <w:r>
        <w:rPr>
          <w:rFonts w:ascii="Arial" w:eastAsia="Arial" w:hAnsi="Arial" w:cs="Arial"/>
          <w:u w:val="single"/>
        </w:rPr>
        <w:t>1</w:t>
      </w:r>
      <w:bookmarkEnd w:id="24"/>
      <w:r>
        <w:rPr>
          <w:rFonts w:ascii="Arial" w:eastAsia="Arial" w:hAnsi="Arial" w:cs="Arial"/>
          <w:u w:val="single"/>
        </w:rPr>
        <w:t xml:space="preserve">)  </w:t>
      </w:r>
      <w:bookmarkStart w:id="25" w:name="_STATUTE_CONTENT__2c88a1fb_bff3_4722_bde"/>
      <w:r>
        <w:rPr>
          <w:rFonts w:ascii="Arial" w:eastAsia="Arial" w:hAnsi="Arial" w:cs="Arial"/>
          <w:u w:val="single"/>
        </w:rPr>
        <w:t>Computers and computer monitors;</w:t>
      </w:r>
    </w:p>
    <w:p w:rsidR="001D4EED" w:rsidRPr="00CB527B" w:rsidP="001D4EED">
      <w:pPr>
        <w:ind w:left="1080"/>
        <w:rPr>
          <w:rFonts w:ascii="Arial" w:eastAsia="Arial" w:hAnsi="Arial" w:cs="Arial"/>
        </w:rPr>
      </w:pPr>
      <w:bookmarkStart w:id="26" w:name="_STATUTE_SP__41084e37_1b4a_414d_85cc_dc1"/>
      <w:bookmarkStart w:id="27" w:name="_REV__98922479_0f7d_47b6_8432_f033ff0e54"/>
      <w:bookmarkEnd w:id="22"/>
      <w:bookmarkEnd w:id="23"/>
      <w:bookmarkEnd w:id="25"/>
      <w:r>
        <w:rPr>
          <w:rFonts w:ascii="Arial" w:eastAsia="Arial" w:hAnsi="Arial" w:cs="Arial"/>
          <w:u w:val="single"/>
        </w:rPr>
        <w:t>(</w:t>
      </w:r>
      <w:bookmarkStart w:id="28" w:name="_STATUTE_NUMBER__85d78c0d_84a3_435d_99ed"/>
      <w:r>
        <w:rPr>
          <w:rFonts w:ascii="Arial" w:eastAsia="Arial" w:hAnsi="Arial" w:cs="Arial"/>
          <w:u w:val="single"/>
        </w:rPr>
        <w:t>2</w:t>
      </w:r>
      <w:bookmarkEnd w:id="28"/>
      <w:r>
        <w:rPr>
          <w:rFonts w:ascii="Arial" w:eastAsia="Arial" w:hAnsi="Arial" w:cs="Arial"/>
          <w:u w:val="single"/>
        </w:rPr>
        <w:t xml:space="preserve">)  </w:t>
      </w:r>
      <w:bookmarkStart w:id="29" w:name="_STATUTE_CONTENT__cc658204_19ab_42c2_8d2"/>
      <w:r>
        <w:rPr>
          <w:rFonts w:ascii="Arial" w:eastAsia="Arial" w:hAnsi="Arial" w:cs="Arial"/>
          <w:u w:val="single"/>
        </w:rPr>
        <w:t>General service lamps;</w:t>
      </w:r>
    </w:p>
    <w:p w:rsidR="001D4EED" w:rsidRPr="00CB527B" w:rsidP="001D4EED">
      <w:pPr>
        <w:ind w:left="1080"/>
        <w:rPr>
          <w:rFonts w:ascii="Arial" w:eastAsia="Arial" w:hAnsi="Arial" w:cs="Arial"/>
        </w:rPr>
      </w:pPr>
      <w:bookmarkStart w:id="30" w:name="_STATUTE_SP__dc728376_075a_41eb_b34e_579"/>
      <w:bookmarkStart w:id="31" w:name="_REV__5fa86bfb_6323_49cf_b77b_c4e95b560a"/>
      <w:bookmarkEnd w:id="26"/>
      <w:bookmarkEnd w:id="27"/>
      <w:bookmarkEnd w:id="29"/>
      <w:r>
        <w:rPr>
          <w:rFonts w:ascii="Arial" w:eastAsia="Arial" w:hAnsi="Arial" w:cs="Arial"/>
          <w:u w:val="single"/>
        </w:rPr>
        <w:t>(</w:t>
      </w:r>
      <w:bookmarkStart w:id="32" w:name="_STATUTE_NUMBER__9ae9ae5e_8839_4f6c_b633"/>
      <w:r>
        <w:rPr>
          <w:rFonts w:ascii="Arial" w:eastAsia="Arial" w:hAnsi="Arial" w:cs="Arial"/>
          <w:u w:val="single"/>
        </w:rPr>
        <w:t>3</w:t>
      </w:r>
      <w:bookmarkEnd w:id="32"/>
      <w:r>
        <w:rPr>
          <w:rFonts w:ascii="Arial" w:eastAsia="Arial" w:hAnsi="Arial" w:cs="Arial"/>
          <w:u w:val="single"/>
        </w:rPr>
        <w:t xml:space="preserve">)  </w:t>
      </w:r>
      <w:bookmarkStart w:id="33" w:name="_STATUTE_CONTENT__f3c66449_ce5f_46ef_80e"/>
      <w:r>
        <w:rPr>
          <w:rFonts w:ascii="Arial" w:eastAsia="Arial" w:hAnsi="Arial" w:cs="Arial"/>
          <w:u w:val="single"/>
        </w:rPr>
        <w:t>Commercial hot food holding cabinets;</w:t>
      </w:r>
    </w:p>
    <w:p w:rsidR="001D4EED" w:rsidRPr="00CB527B" w:rsidP="001D4EED">
      <w:pPr>
        <w:ind w:left="1080"/>
        <w:rPr>
          <w:rFonts w:ascii="Arial" w:eastAsia="Arial" w:hAnsi="Arial" w:cs="Arial"/>
        </w:rPr>
      </w:pPr>
      <w:bookmarkStart w:id="34" w:name="_STATUTE_SP__7b5ecadd_4496_438c_afe1_e32"/>
      <w:bookmarkStart w:id="35" w:name="_REV__b96db69b_7071_4b36_8ca4_84bcc135f5"/>
      <w:bookmarkEnd w:id="30"/>
      <w:bookmarkEnd w:id="31"/>
      <w:bookmarkEnd w:id="33"/>
      <w:r>
        <w:rPr>
          <w:rFonts w:ascii="Arial" w:eastAsia="Arial" w:hAnsi="Arial" w:cs="Arial"/>
          <w:u w:val="single"/>
        </w:rPr>
        <w:t>(</w:t>
      </w:r>
      <w:bookmarkStart w:id="36" w:name="_STATUTE_NUMBER__50d77779_d665_403b_8cde"/>
      <w:r>
        <w:rPr>
          <w:rFonts w:ascii="Arial" w:eastAsia="Arial" w:hAnsi="Arial" w:cs="Arial"/>
          <w:u w:val="single"/>
        </w:rPr>
        <w:t>4</w:t>
      </w:r>
      <w:bookmarkEnd w:id="36"/>
      <w:r>
        <w:rPr>
          <w:rFonts w:ascii="Arial" w:eastAsia="Arial" w:hAnsi="Arial" w:cs="Arial"/>
          <w:u w:val="single"/>
        </w:rPr>
        <w:t xml:space="preserve">)  </w:t>
      </w:r>
      <w:bookmarkStart w:id="37" w:name="_STATUTE_CONTENT__d0bd9e08_764d_4e93_999"/>
      <w:r>
        <w:rPr>
          <w:rFonts w:ascii="Arial" w:eastAsia="Arial" w:hAnsi="Arial" w:cs="Arial"/>
          <w:u w:val="single"/>
        </w:rPr>
        <w:t>Plumbing fittings that are showerheads, lavatory faucets, kitchen faucets, public lavatory faucets, metering faucets, kitchen replacement aerators and lavatory replacement aerators;</w:t>
      </w:r>
    </w:p>
    <w:p w:rsidR="001D4EED" w:rsidRPr="00CB527B" w:rsidP="001D4EED">
      <w:pPr>
        <w:ind w:left="1080"/>
        <w:rPr>
          <w:rFonts w:ascii="Arial" w:eastAsia="Arial" w:hAnsi="Arial" w:cs="Arial"/>
        </w:rPr>
      </w:pPr>
      <w:bookmarkStart w:id="38" w:name="_STATUTE_SP__d48ea4ed_78a5_4b3e_8fcd_a24"/>
      <w:bookmarkStart w:id="39" w:name="_REV__b11471bb_4aec_42b3_9ed2_23ad1f2464"/>
      <w:bookmarkEnd w:id="34"/>
      <w:bookmarkEnd w:id="35"/>
      <w:bookmarkEnd w:id="37"/>
      <w:r>
        <w:rPr>
          <w:rFonts w:ascii="Arial" w:eastAsia="Arial" w:hAnsi="Arial" w:cs="Arial"/>
          <w:u w:val="single"/>
        </w:rPr>
        <w:t>(</w:t>
      </w:r>
      <w:bookmarkStart w:id="40" w:name="_STATUTE_NUMBER__e2c06095_28bd_4af3_b002"/>
      <w:r>
        <w:rPr>
          <w:rFonts w:ascii="Arial" w:eastAsia="Arial" w:hAnsi="Arial" w:cs="Arial"/>
          <w:u w:val="single"/>
        </w:rPr>
        <w:t>5</w:t>
      </w:r>
      <w:bookmarkEnd w:id="40"/>
      <w:r>
        <w:rPr>
          <w:rFonts w:ascii="Arial" w:eastAsia="Arial" w:hAnsi="Arial" w:cs="Arial"/>
          <w:u w:val="single"/>
        </w:rPr>
        <w:t xml:space="preserve">)  </w:t>
      </w:r>
      <w:bookmarkStart w:id="41" w:name="_STATUTE_CONTENT__ccac8754_51c4_4ff5_9aa"/>
      <w:r>
        <w:rPr>
          <w:rFonts w:ascii="Arial" w:eastAsia="Arial" w:hAnsi="Arial" w:cs="Arial"/>
          <w:u w:val="single"/>
        </w:rPr>
        <w:t>Plumbing fixtures that are water closets and urinals;</w:t>
      </w:r>
    </w:p>
    <w:p w:rsidR="001D4EED" w:rsidRPr="00CB527B" w:rsidP="001D4EED">
      <w:pPr>
        <w:ind w:left="1080"/>
        <w:rPr>
          <w:rFonts w:ascii="Arial" w:eastAsia="Arial" w:hAnsi="Arial" w:cs="Arial"/>
        </w:rPr>
      </w:pPr>
      <w:bookmarkStart w:id="42" w:name="_STATUTE_SP__99723031_ee74_4aa9_a2e1_ed3"/>
      <w:bookmarkStart w:id="43" w:name="_REV__b8c299be_f37d_4c78_aa41_070df11190"/>
      <w:bookmarkEnd w:id="38"/>
      <w:bookmarkEnd w:id="39"/>
      <w:bookmarkEnd w:id="41"/>
      <w:r>
        <w:rPr>
          <w:rFonts w:ascii="Arial" w:eastAsia="Arial" w:hAnsi="Arial" w:cs="Arial"/>
          <w:u w:val="single"/>
        </w:rPr>
        <w:t>(</w:t>
      </w:r>
      <w:bookmarkStart w:id="44" w:name="_STATUTE_NUMBER__87ef28b0_855d_4013_8369"/>
      <w:r>
        <w:rPr>
          <w:rFonts w:ascii="Arial" w:eastAsia="Arial" w:hAnsi="Arial" w:cs="Arial"/>
          <w:u w:val="single"/>
        </w:rPr>
        <w:t>6</w:t>
      </w:r>
      <w:bookmarkEnd w:id="44"/>
      <w:r>
        <w:rPr>
          <w:rFonts w:ascii="Arial" w:eastAsia="Arial" w:hAnsi="Arial" w:cs="Arial"/>
          <w:u w:val="single"/>
        </w:rPr>
        <w:t xml:space="preserve">)  </w:t>
      </w:r>
      <w:bookmarkStart w:id="45" w:name="_STATUTE_CONTENT__0aba8719_9d8e_4352_865"/>
      <w:r>
        <w:rPr>
          <w:rFonts w:ascii="Arial" w:eastAsia="Arial" w:hAnsi="Arial" w:cs="Arial"/>
          <w:u w:val="single"/>
        </w:rPr>
        <w:t>Portable electric spas;</w:t>
      </w:r>
    </w:p>
    <w:p w:rsidR="001D4EED" w:rsidRPr="00CB527B" w:rsidP="001D4EED">
      <w:pPr>
        <w:ind w:left="1080"/>
        <w:rPr>
          <w:rFonts w:ascii="Arial" w:eastAsia="Arial" w:hAnsi="Arial" w:cs="Arial"/>
        </w:rPr>
      </w:pPr>
      <w:bookmarkStart w:id="46" w:name="_STATUTE_SP__13f52ca6_821c_4487_bbcb_369"/>
      <w:bookmarkStart w:id="47" w:name="_REV__c75988fb_4850_4bf9_b6d7_ee6b7a443e"/>
      <w:bookmarkEnd w:id="42"/>
      <w:bookmarkEnd w:id="43"/>
      <w:bookmarkEnd w:id="45"/>
      <w:r>
        <w:rPr>
          <w:rFonts w:ascii="Arial" w:eastAsia="Arial" w:hAnsi="Arial" w:cs="Arial"/>
          <w:u w:val="single"/>
        </w:rPr>
        <w:t>(</w:t>
      </w:r>
      <w:bookmarkStart w:id="48" w:name="_STATUTE_NUMBER__804b936c_ae39_46b5_abea"/>
      <w:r>
        <w:rPr>
          <w:rFonts w:ascii="Arial" w:eastAsia="Arial" w:hAnsi="Arial" w:cs="Arial"/>
          <w:u w:val="single"/>
        </w:rPr>
        <w:t>7</w:t>
      </w:r>
      <w:bookmarkEnd w:id="48"/>
      <w:r>
        <w:rPr>
          <w:rFonts w:ascii="Arial" w:eastAsia="Arial" w:hAnsi="Arial" w:cs="Arial"/>
          <w:u w:val="single"/>
        </w:rPr>
        <w:t xml:space="preserve">)  </w:t>
      </w:r>
      <w:bookmarkStart w:id="49" w:name="_STATUTE_CONTENT__7fe12f87_84af_46f2_966"/>
      <w:r>
        <w:rPr>
          <w:rFonts w:ascii="Arial" w:eastAsia="Arial" w:hAnsi="Arial" w:cs="Arial"/>
          <w:u w:val="single"/>
        </w:rPr>
        <w:t>Spray sprinkler bodies; and</w:t>
      </w:r>
    </w:p>
    <w:p w:rsidR="001D4EED" w:rsidRPr="00CB527B" w:rsidP="001D4EED">
      <w:pPr>
        <w:ind w:left="1080"/>
        <w:rPr>
          <w:rFonts w:ascii="Arial" w:eastAsia="Arial" w:hAnsi="Arial" w:cs="Arial"/>
        </w:rPr>
      </w:pPr>
      <w:bookmarkStart w:id="50" w:name="_STATUTE_SP__ffca7d7d_29a9_4716_94b6_fbe"/>
      <w:bookmarkStart w:id="51" w:name="_REV__0c869a7e_26c2_49fe_9970_3f91e95268"/>
      <w:bookmarkEnd w:id="46"/>
      <w:bookmarkEnd w:id="47"/>
      <w:bookmarkEnd w:id="49"/>
      <w:r>
        <w:rPr>
          <w:rFonts w:ascii="Arial" w:eastAsia="Arial" w:hAnsi="Arial" w:cs="Arial"/>
          <w:u w:val="single"/>
        </w:rPr>
        <w:t>(</w:t>
      </w:r>
      <w:bookmarkStart w:id="52" w:name="_STATUTE_NUMBER__da3dea1f_1e26_4fb7_b562"/>
      <w:r>
        <w:rPr>
          <w:rFonts w:ascii="Arial" w:eastAsia="Arial" w:hAnsi="Arial" w:cs="Arial"/>
          <w:u w:val="single"/>
        </w:rPr>
        <w:t>8</w:t>
      </w:r>
      <w:bookmarkEnd w:id="52"/>
      <w:r>
        <w:rPr>
          <w:rFonts w:ascii="Arial" w:eastAsia="Arial" w:hAnsi="Arial" w:cs="Arial"/>
          <w:u w:val="single"/>
        </w:rPr>
        <w:t xml:space="preserve">)  </w:t>
      </w:r>
      <w:bookmarkStart w:id="53" w:name="_STATUTE_CONTENT__306666b7_1472_4ca1_aef"/>
      <w:r>
        <w:rPr>
          <w:rFonts w:ascii="Arial" w:eastAsia="Arial" w:hAnsi="Arial" w:cs="Arial"/>
          <w:u w:val="single"/>
        </w:rPr>
        <w:t>Water dispensers.</w:t>
      </w:r>
    </w:p>
    <w:p w:rsidR="001D4EED" w:rsidRPr="00CB527B" w:rsidP="001D4EED">
      <w:pPr>
        <w:ind w:left="720"/>
        <w:rPr>
          <w:rFonts w:ascii="Arial" w:eastAsia="Arial" w:hAnsi="Arial" w:cs="Arial"/>
        </w:rPr>
      </w:pPr>
      <w:bookmarkStart w:id="54" w:name="_STATUTE_P__42e7e4e6_4b94_45de_9aeb_eef9"/>
      <w:bookmarkStart w:id="55" w:name="_REV__03d0eade_66bf_4461_b1c8_14c810262c"/>
      <w:bookmarkStart w:id="56" w:name="_STATUTE_CONTENT__77add753_1190_41be_8f9"/>
      <w:bookmarkEnd w:id="50"/>
      <w:bookmarkEnd w:id="51"/>
      <w:bookmarkEnd w:id="53"/>
      <w:r>
        <w:rPr>
          <w:rFonts w:ascii="Arial" w:eastAsia="Arial" w:hAnsi="Arial" w:cs="Arial"/>
          <w:u w:val="single"/>
        </w:rPr>
        <w:t>For the purposes of this paragraph, the appliances and products listed in subparagraphs (1) to (8) have the same meanings as in</w:t>
      </w:r>
      <w:r>
        <w:rPr>
          <w:rFonts w:ascii="Arial" w:eastAsia="Arial" w:hAnsi="Arial" w:cs="Arial"/>
          <w:u w:val="single"/>
        </w:rPr>
        <w:t xml:space="preserve"> </w:t>
      </w:r>
      <w:r>
        <w:rPr>
          <w:rFonts w:ascii="Arial" w:eastAsia="Arial" w:hAnsi="Arial" w:cs="Arial"/>
          <w:u w:val="single"/>
        </w:rPr>
        <w:t>rules adopted by the department under subsection 3</w:t>
      </w:r>
      <w:r>
        <w:rPr>
          <w:rFonts w:ascii="Arial" w:eastAsia="Arial" w:hAnsi="Arial" w:cs="Arial"/>
          <w:u w:val="single"/>
        </w:rPr>
        <w:t>, except that "general service lamps" means medium-base incandescent light bulbs that are: reflector lamps that are ER30, BR30, BR40 or ER40 lamps rated at 50 watts or less; reflector lamps that are BR30, BR40 or ER40 lamps rated at 65 watts; reflector lamps that are R20 lamps rated at 45 watts or less; B, BA, CA, F and G shape lamps as defined in American National Standards Institute standard C79.1</w:t>
      </w:r>
      <w:r>
        <w:rPr>
          <w:rFonts w:ascii="Arial" w:eastAsia="Arial" w:hAnsi="Arial" w:cs="Arial"/>
          <w:u w:val="single"/>
        </w:rPr>
        <w:noBreakHyphen/>
      </w:r>
      <w:r>
        <w:rPr>
          <w:rFonts w:ascii="Arial" w:eastAsia="Arial" w:hAnsi="Arial" w:cs="Arial"/>
          <w:u w:val="single"/>
        </w:rPr>
        <w:t>2002 with a lumen output greater than or equal to 200 and rated at 40 watts or less; A and C shape lamps as defined in American National Standards Institute standard C79.1</w:t>
      </w:r>
      <w:r>
        <w:rPr>
          <w:rFonts w:ascii="Arial" w:eastAsia="Arial" w:hAnsi="Arial" w:cs="Arial"/>
          <w:u w:val="single"/>
        </w:rPr>
        <w:noBreakHyphen/>
      </w:r>
      <w:r>
        <w:rPr>
          <w:rFonts w:ascii="Arial" w:eastAsia="Arial" w:hAnsi="Arial" w:cs="Arial"/>
          <w:u w:val="single"/>
        </w:rPr>
        <w:t>2002 with a lumen output greater than or equal to 200 and less than 310; shatter-resistant lamps; and 3-way lamps.</w:t>
      </w:r>
    </w:p>
    <w:p w:rsidR="001D4EED" w:rsidRPr="00CB527B" w:rsidP="001D4EED">
      <w:pPr>
        <w:ind w:left="720"/>
        <w:rPr>
          <w:rFonts w:ascii="Arial" w:eastAsia="Arial" w:hAnsi="Arial" w:cs="Arial"/>
        </w:rPr>
      </w:pPr>
      <w:bookmarkStart w:id="57" w:name="_STATUTE_NUMBER__4eba610d_5da0_4956_a678"/>
      <w:bookmarkStart w:id="58" w:name="_STATUTE_P__18b0dc5a_5956_455e_841f_9f9a"/>
      <w:bookmarkStart w:id="59" w:name="_REV__a412df5c_b7a2_4ae4_a798_368c367f81"/>
      <w:bookmarkEnd w:id="20"/>
      <w:bookmarkEnd w:id="54"/>
      <w:bookmarkEnd w:id="55"/>
      <w:bookmarkEnd w:id="56"/>
      <w:r>
        <w:rPr>
          <w:rFonts w:ascii="Arial" w:eastAsia="Arial" w:hAnsi="Arial" w:cs="Arial"/>
          <w:u w:val="single"/>
        </w:rPr>
        <w:t>B</w:t>
      </w:r>
      <w:bookmarkEnd w:id="57"/>
      <w:r>
        <w:rPr>
          <w:rFonts w:ascii="Arial" w:eastAsia="Arial" w:hAnsi="Arial" w:cs="Arial"/>
          <w:u w:val="single"/>
        </w:rPr>
        <w:t xml:space="preserve">.  </w:t>
      </w:r>
      <w:bookmarkStart w:id="60" w:name="_STATUTE_CONTENT__e24b59dd_70c7_4414_b0c"/>
      <w:r>
        <w:rPr>
          <w:rFonts w:ascii="Arial" w:eastAsia="Arial" w:hAnsi="Arial" w:cs="Arial"/>
          <w:u w:val="single"/>
        </w:rPr>
        <w:t>In determining a person's compliance with paragraph A, the department shall, to the greatest extent practicable and where consistent with the requirements of this subsection, use information</w:t>
      </w:r>
      <w:r>
        <w:rPr>
          <w:rFonts w:ascii="Arial" w:eastAsia="Arial" w:hAnsi="Arial" w:cs="Arial"/>
          <w:u w:val="single"/>
        </w:rPr>
        <w:t xml:space="preserve"> available from other states that regulate the same appliance</w:t>
      </w:r>
      <w:r>
        <w:rPr>
          <w:rFonts w:ascii="Arial" w:eastAsia="Arial" w:hAnsi="Arial" w:cs="Arial"/>
          <w:u w:val="single"/>
        </w:rPr>
        <w:t>s</w:t>
      </w:r>
      <w:r>
        <w:rPr>
          <w:rFonts w:ascii="Arial" w:eastAsia="Arial" w:hAnsi="Arial" w:cs="Arial"/>
          <w:u w:val="single"/>
        </w:rPr>
        <w:t xml:space="preserve"> and products</w:t>
      </w:r>
      <w:r>
        <w:rPr>
          <w:rFonts w:ascii="Arial" w:eastAsia="Arial" w:hAnsi="Arial" w:cs="Arial"/>
          <w:u w:val="single"/>
        </w:rPr>
        <w:t>.</w:t>
      </w:r>
    </w:p>
    <w:p w:rsidR="001D4EED" w:rsidRPr="00CB527B" w:rsidP="001D4EED">
      <w:pPr>
        <w:ind w:left="720"/>
        <w:rPr>
          <w:rFonts w:ascii="Arial" w:eastAsia="Arial" w:hAnsi="Arial" w:cs="Arial"/>
        </w:rPr>
      </w:pPr>
      <w:bookmarkStart w:id="61" w:name="_STATUTE_NUMBER__c7265831_0a35_48de_8c25"/>
      <w:bookmarkStart w:id="62" w:name="_STATUTE_P__d84038a6_fe9b_4a9a_a042_661a"/>
      <w:bookmarkStart w:id="63" w:name="_REV__d0313361_70ee_4dde_824d_245c092314"/>
      <w:bookmarkEnd w:id="58"/>
      <w:bookmarkEnd w:id="59"/>
      <w:bookmarkEnd w:id="60"/>
      <w:r>
        <w:rPr>
          <w:rFonts w:ascii="Arial" w:eastAsia="Arial" w:hAnsi="Arial" w:cs="Arial"/>
          <w:u w:val="single"/>
        </w:rPr>
        <w:t>C</w:t>
      </w:r>
      <w:bookmarkEnd w:id="61"/>
      <w:r>
        <w:rPr>
          <w:rFonts w:ascii="Arial" w:eastAsia="Arial" w:hAnsi="Arial" w:cs="Arial"/>
          <w:u w:val="single"/>
        </w:rPr>
        <w:t xml:space="preserve">.  </w:t>
      </w:r>
      <w:bookmarkStart w:id="64" w:name="_STATUTE_CONTENT__a9337cb2_bb93_4ae1_82c"/>
      <w:r>
        <w:rPr>
          <w:rFonts w:ascii="Arial" w:eastAsia="Arial" w:hAnsi="Arial" w:cs="Arial"/>
          <w:u w:val="single"/>
        </w:rPr>
        <w:t>A person who violates paragraph A commits a civil violation for which a fine of not more than $100 may be adjudged.</w:t>
      </w:r>
    </w:p>
    <w:p w:rsidR="001D4EED" w:rsidRPr="00CB527B" w:rsidP="001D4EED">
      <w:pPr>
        <w:ind w:left="360" w:firstLine="360"/>
        <w:rPr>
          <w:rFonts w:ascii="Arial" w:eastAsia="Arial" w:hAnsi="Arial" w:cs="Arial"/>
        </w:rPr>
      </w:pPr>
      <w:bookmarkStart w:id="65" w:name="_STATUTE_NUMBER__156d6eca_1bde_4774_a1e4"/>
      <w:bookmarkStart w:id="66" w:name="_STATUTE_SS__f3fee47e_1dc9_49c9_8eae_cc9"/>
      <w:bookmarkStart w:id="67" w:name="_REV__ead5f98b_bdb0_4482_af31_68f1f5baad"/>
      <w:bookmarkEnd w:id="15"/>
      <w:bookmarkEnd w:id="62"/>
      <w:bookmarkEnd w:id="63"/>
      <w:bookmarkEnd w:id="64"/>
      <w:r w:rsidRPr="00CB527B">
        <w:rPr>
          <w:rFonts w:ascii="Arial" w:eastAsia="Arial" w:hAnsi="Arial" w:cs="Arial"/>
          <w:b/>
          <w:u w:val="single"/>
        </w:rPr>
        <w:t>2</w:t>
      </w:r>
      <w:bookmarkEnd w:id="65"/>
      <w:r w:rsidRPr="00CB527B">
        <w:rPr>
          <w:rFonts w:ascii="Arial" w:eastAsia="Arial" w:hAnsi="Arial" w:cs="Arial"/>
          <w:b/>
          <w:u w:val="single"/>
        </w:rPr>
        <w:t xml:space="preserve">.  </w:t>
      </w:r>
      <w:bookmarkStart w:id="68" w:name="_STATUTE_HEADNOTE__2f03b117_1eeb_4182_ab"/>
      <w:r w:rsidRPr="00CB527B">
        <w:rPr>
          <w:rFonts w:ascii="Arial" w:eastAsia="Arial" w:hAnsi="Arial" w:cs="Arial"/>
          <w:b/>
          <w:u w:val="single"/>
        </w:rPr>
        <w:t xml:space="preserve">Exclusions; federal preemption. </w:t>
      </w:r>
      <w:r>
        <w:rPr>
          <w:rFonts w:ascii="Arial" w:eastAsia="Arial" w:hAnsi="Arial" w:cs="Arial"/>
          <w:u w:val="single"/>
        </w:rPr>
        <w:t xml:space="preserve"> </w:t>
      </w:r>
      <w:bookmarkStart w:id="69" w:name="_STATUTE_CONTENT__61b30e19_b3f4_4977_a95"/>
      <w:bookmarkEnd w:id="68"/>
      <w:r>
        <w:rPr>
          <w:rFonts w:ascii="Arial" w:eastAsia="Arial" w:hAnsi="Arial" w:cs="Arial"/>
          <w:u w:val="single"/>
        </w:rPr>
        <w:t>This section does not apply to any appliances and products listed in subsection 1, paragraph A, subparagraphs (1) to (8) that are manufactured before January 1, 2023 or that are sold or offered for sale in the State in used condition.  An appliance or product listed in subsection 1, paragraph A is exempt from the prohibitions in this section and the rules adopted pursuant to this section if state regulation of the appliance or product is preempted by federal statute or regulation, for as long as that federal preemption remains in effect.</w:t>
      </w:r>
    </w:p>
    <w:p w:rsidR="001D4EED" w:rsidP="001D4EED">
      <w:pPr>
        <w:ind w:left="360" w:firstLine="360"/>
        <w:rPr>
          <w:rFonts w:ascii="Arial" w:eastAsia="Arial" w:hAnsi="Arial" w:cs="Arial"/>
        </w:rPr>
      </w:pPr>
      <w:bookmarkStart w:id="70" w:name="_STATUTE_NUMBER__1c6693f9_a490_4073_a8b9"/>
      <w:bookmarkStart w:id="71" w:name="_REV__2e580a36_e952_4dc2_ab07_b8510d78d4"/>
      <w:bookmarkStart w:id="72" w:name="_STATUTE_SS__d0f5359f_1f44_4558_9bac_9b8"/>
      <w:bookmarkEnd w:id="66"/>
      <w:bookmarkEnd w:id="67"/>
      <w:bookmarkEnd w:id="69"/>
      <w:r w:rsidRPr="00CB527B">
        <w:rPr>
          <w:rFonts w:ascii="Arial" w:eastAsia="Arial" w:hAnsi="Arial" w:cs="Arial"/>
          <w:b/>
          <w:u w:val="single"/>
        </w:rPr>
        <w:t>3</w:t>
      </w:r>
      <w:bookmarkEnd w:id="70"/>
      <w:r w:rsidRPr="00CB527B">
        <w:rPr>
          <w:rFonts w:ascii="Arial" w:eastAsia="Arial" w:hAnsi="Arial" w:cs="Arial"/>
          <w:b/>
          <w:u w:val="single"/>
        </w:rPr>
        <w:t xml:space="preserve">.  </w:t>
      </w:r>
      <w:bookmarkStart w:id="73" w:name="_STATUTE_HEADNOTE__3f9882f8_56cb_42ff_85"/>
      <w:r w:rsidRPr="00CB527B">
        <w:rPr>
          <w:rFonts w:ascii="Arial" w:eastAsia="Arial" w:hAnsi="Arial" w:cs="Arial"/>
          <w:b/>
          <w:u w:val="single"/>
        </w:rPr>
        <w:t xml:space="preserve">Rules. </w:t>
      </w:r>
      <w:r>
        <w:rPr>
          <w:rFonts w:ascii="Arial" w:eastAsia="Arial" w:hAnsi="Arial" w:cs="Arial"/>
          <w:u w:val="single"/>
        </w:rPr>
        <w:t xml:space="preserve"> </w:t>
      </w:r>
      <w:bookmarkStart w:id="74" w:name="_STATUTE_CONTENT__44b55ac6_5ee8_4df0_853"/>
      <w:bookmarkEnd w:id="73"/>
      <w:r>
        <w:rPr>
          <w:rFonts w:ascii="Arial" w:eastAsia="Arial" w:hAnsi="Arial" w:cs="Arial"/>
          <w:u w:val="single"/>
        </w:rPr>
        <w:t>The department may adopt rules to prohibit the sale or offering for sale in the State of appliances or products described in subsection 1, paragraph A.  Rules adopted pursuant to this subsection are major substantive rules as defined in Title 5, chapter 375, subchapter 2-A.</w:t>
      </w:r>
      <w:bookmarkEnd w:id="4"/>
    </w:p>
    <w:p w:rsidR="001D4EED" w:rsidP="001D4EED">
      <w:pPr>
        <w:ind w:left="360" w:firstLine="360"/>
        <w:rPr>
          <w:rFonts w:ascii="Arial" w:eastAsia="Arial" w:hAnsi="Arial" w:cs="Arial"/>
        </w:rPr>
      </w:pPr>
      <w:bookmarkStart w:id="75" w:name="_BILL_SECTION_UNALLOCATED__2ccc0213_0065"/>
      <w:bookmarkEnd w:id="5"/>
      <w:bookmarkEnd w:id="10"/>
      <w:bookmarkEnd w:id="71"/>
      <w:bookmarkEnd w:id="72"/>
      <w:bookmarkEnd w:id="74"/>
      <w:r>
        <w:rPr>
          <w:rFonts w:ascii="Arial" w:eastAsia="Arial" w:hAnsi="Arial" w:cs="Arial"/>
          <w:b/>
          <w:sz w:val="24"/>
        </w:rPr>
        <w:t xml:space="preserve">Sec. </w:t>
      </w:r>
      <w:bookmarkStart w:id="76" w:name="_BILL_SECTION_NUMBER__f511c296_1273_427a"/>
      <w:r>
        <w:rPr>
          <w:rFonts w:ascii="Arial" w:eastAsia="Arial" w:hAnsi="Arial" w:cs="Arial"/>
          <w:b/>
          <w:sz w:val="24"/>
        </w:rPr>
        <w:t>2</w:t>
      </w:r>
      <w:bookmarkEnd w:id="76"/>
      <w:r w:rsidRPr="00C769FF">
        <w:rPr>
          <w:rFonts w:ascii="Arial" w:eastAsia="Arial" w:hAnsi="Arial" w:cs="Arial"/>
          <w:b/>
          <w:sz w:val="24"/>
          <w:szCs w:val="24"/>
        </w:rPr>
        <w:t>.  Memorandum of understanding regarding technical assistance to consumers and businesses.</w:t>
      </w:r>
      <w:r w:rsidRPr="00C769FF">
        <w:rPr>
          <w:rFonts w:ascii="Arial" w:eastAsia="Arial" w:hAnsi="Arial" w:cs="Arial"/>
        </w:rPr>
        <w:t xml:space="preserve">  The Department of Environmental Protection may enter into a memorandum of understanding or other formalized agreement with the Efficiency Maine Trust, established in the Maine Revised Statutes, Title 35-A, chapter 97, for the provision of technical assistance by the trust to consumers and businesses in the scope and application of the State's efficiency standards under Title 38, section </w:t>
      </w:r>
      <w:r w:rsidRPr="00C769FF">
        <w:rPr>
          <w:rFonts w:ascii="Arial" w:eastAsia="Arial" w:hAnsi="Arial" w:cs="Arial"/>
        </w:rPr>
        <w:t>161</w:t>
      </w:r>
      <w:r>
        <w:rPr>
          <w:rFonts w:ascii="Arial" w:eastAsia="Arial" w:hAnsi="Arial" w:cs="Arial"/>
        </w:rPr>
        <w:t>3</w:t>
      </w:r>
      <w:r w:rsidRPr="00C769FF">
        <w:rPr>
          <w:rFonts w:ascii="Arial" w:eastAsia="Arial" w:hAnsi="Arial" w:cs="Arial"/>
        </w:rPr>
        <w:t>.</w:t>
      </w:r>
    </w:p>
    <w:p w:rsidR="001D4EED" w:rsidP="001D4EED">
      <w:pPr>
        <w:ind w:left="360" w:firstLine="360"/>
        <w:rPr>
          <w:rFonts w:ascii="Arial" w:eastAsia="Arial" w:hAnsi="Arial" w:cs="Arial"/>
        </w:rPr>
      </w:pPr>
      <w:bookmarkStart w:id="77" w:name="_APPROP_SECTION__b890eaaf_2e7e_4386_b053"/>
      <w:bookmarkEnd w:id="75"/>
      <w:r>
        <w:rPr>
          <w:rFonts w:ascii="Arial" w:eastAsia="Arial" w:hAnsi="Arial" w:cs="Arial"/>
          <w:b/>
          <w:sz w:val="24"/>
        </w:rPr>
        <w:t xml:space="preserve">Sec. </w:t>
      </w:r>
      <w:bookmarkStart w:id="78" w:name="_BILL_SECTION_NUMBER__681af0a1_a2cf_4a0d"/>
      <w:r>
        <w:rPr>
          <w:rFonts w:ascii="Arial" w:eastAsia="Arial" w:hAnsi="Arial" w:cs="Arial"/>
          <w:b/>
          <w:sz w:val="24"/>
        </w:rPr>
        <w:t>3</w:t>
      </w:r>
      <w:bookmarkEnd w:id="78"/>
      <w:r>
        <w:rPr>
          <w:rFonts w:ascii="Arial" w:eastAsia="Arial" w:hAnsi="Arial" w:cs="Arial"/>
          <w:b/>
          <w:sz w:val="24"/>
        </w:rPr>
        <w:t>.  Appropriations and allocations.</w:t>
      </w:r>
      <w:r>
        <w:rPr>
          <w:rFonts w:ascii="Arial" w:eastAsia="Arial" w:hAnsi="Arial" w:cs="Arial"/>
        </w:rPr>
        <w:t>  The following appropriations and allocations are made.</w:t>
      </w:r>
    </w:p>
    <w:p w:rsidR="001D4EED" w:rsidP="001D4EED">
      <w:pPr>
        <w:pStyle w:val="BPSParagraphLeftAlign"/>
        <w:suppressAutoHyphens/>
        <w:ind w:left="360"/>
        <w:rPr>
          <w:rFonts w:ascii="Arial" w:eastAsia="Arial" w:hAnsi="Arial" w:cs="Arial"/>
        </w:rPr>
      </w:pPr>
      <w:r>
        <w:rPr>
          <w:rFonts w:ascii="Arial" w:eastAsia="Arial" w:hAnsi="Arial" w:cs="Arial"/>
          <w:b/>
        </w:rPr>
        <w:t>ENVIRONMENTAL PROTECTION, DEPARTMENT OF</w:t>
      </w:r>
    </w:p>
    <w:p w:rsidR="001D4EED" w:rsidP="001D4EED">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1D4EED" w:rsidP="001D4EED">
      <w:pPr>
        <w:ind w:left="360"/>
        <w:rPr>
          <w:rFonts w:ascii="Arial" w:eastAsia="Arial" w:hAnsi="Arial" w:cs="Arial"/>
        </w:rPr>
      </w:pPr>
      <w:r>
        <w:rPr>
          <w:rFonts w:ascii="Arial" w:eastAsia="Arial" w:hAnsi="Arial" w:cs="Arial"/>
        </w:rPr>
        <w:t>Initiative: Provides appropriations for one Environmental Specialist III position and associated costs.</w:t>
      </w:r>
    </w:p>
    <w:tbl>
      <w:tblPr>
        <w:tblStyle w:val="BPSTable"/>
        <w:tblW w:w="0" w:type="auto"/>
        <w:tblInd w:w="360" w:type="dxa"/>
        <w:tblCellMar>
          <w:left w:w="0" w:type="dxa"/>
          <w:right w:w="0" w:type="dxa"/>
        </w:tblCellMar>
        <w:tblLook w:val="04A0"/>
      </w:tblPr>
      <w:tblGrid>
        <w:gridCol w:w="5009"/>
        <w:gridCol w:w="1463"/>
        <w:gridCol w:w="1463"/>
      </w:tblGrid>
      <w:tr w:rsidTr="00720DCA">
        <w:tblPrEx>
          <w:tblW w:w="0" w:type="auto"/>
          <w:tblInd w:w="360" w:type="dxa"/>
          <w:tblCellMar>
            <w:left w:w="0" w:type="dxa"/>
            <w:right w:w="0" w:type="dxa"/>
          </w:tblCellMar>
          <w:tblLook w:val="04A0"/>
        </w:tblPrEx>
        <w:tc>
          <w:tcPr>
            <w:tcW w:w="5069" w:type="dxa"/>
          </w:tcPr>
          <w:p w:rsidR="001D4EED" w:rsidP="00720DCA">
            <w:pPr>
              <w:rPr>
                <w:rFonts w:ascii="Arial" w:eastAsia="Arial" w:hAnsi="Arial" w:cs="Arial"/>
              </w:rPr>
            </w:pPr>
            <w:r>
              <w:rPr>
                <w:rFonts w:ascii="Arial" w:eastAsia="Arial" w:hAnsi="Arial" w:cs="Arial"/>
                <w:b/>
              </w:rPr>
              <w:t>GENERAL FUND</w:t>
            </w:r>
          </w:p>
        </w:tc>
        <w:tc>
          <w:tcPr>
            <w:tcW w:w="1469" w:type="dxa"/>
          </w:tcPr>
          <w:p w:rsidR="001D4EED" w:rsidP="00720DCA">
            <w:pPr>
              <w:jc w:val="right"/>
              <w:rPr>
                <w:rFonts w:ascii="Arial" w:eastAsia="Arial" w:hAnsi="Arial" w:cs="Arial"/>
              </w:rPr>
            </w:pPr>
            <w:r>
              <w:rPr>
                <w:rFonts w:ascii="Arial" w:eastAsia="Arial" w:hAnsi="Arial" w:cs="Arial"/>
                <w:b/>
              </w:rPr>
              <w:t>2021-22</w:t>
            </w:r>
          </w:p>
        </w:tc>
        <w:tc>
          <w:tcPr>
            <w:tcW w:w="1469" w:type="dxa"/>
          </w:tcPr>
          <w:p w:rsidR="001D4EED" w:rsidP="00720DCA">
            <w:pPr>
              <w:jc w:val="right"/>
              <w:rPr>
                <w:rFonts w:ascii="Arial" w:eastAsia="Arial" w:hAnsi="Arial" w:cs="Arial"/>
              </w:rPr>
            </w:pPr>
            <w:r>
              <w:rPr>
                <w:rFonts w:ascii="Arial" w:eastAsia="Arial" w:hAnsi="Arial" w:cs="Arial"/>
                <w:b/>
              </w:rPr>
              <w:t>2022-23</w:t>
            </w:r>
          </w:p>
        </w:tc>
      </w:tr>
      <w:tr w:rsidTr="00720DCA">
        <w:tblPrEx>
          <w:tblW w:w="0" w:type="auto"/>
          <w:tblInd w:w="360" w:type="dxa"/>
          <w:tblCellMar>
            <w:left w:w="0" w:type="dxa"/>
            <w:right w:w="0" w:type="dxa"/>
          </w:tblCellMar>
          <w:tblLook w:val="04A0"/>
        </w:tblPrEx>
        <w:tc>
          <w:tcPr>
            <w:tcW w:w="5069" w:type="dxa"/>
          </w:tcPr>
          <w:p w:rsidR="001D4EED" w:rsidP="00720DCA">
            <w:pPr>
              <w:ind w:left="180"/>
              <w:rPr>
                <w:rFonts w:ascii="Arial" w:eastAsia="Arial" w:hAnsi="Arial" w:cs="Arial"/>
              </w:rPr>
            </w:pPr>
            <w:r>
              <w:rPr>
                <w:rFonts w:ascii="Arial" w:eastAsia="Arial" w:hAnsi="Arial" w:cs="Arial"/>
              </w:rPr>
              <w:t>POSITIONS - LEGISLATIVE COUNT</w:t>
            </w:r>
          </w:p>
        </w:tc>
        <w:tc>
          <w:tcPr>
            <w:tcW w:w="1469" w:type="dxa"/>
          </w:tcPr>
          <w:p w:rsidR="001D4EED" w:rsidP="00720DCA">
            <w:pPr>
              <w:jc w:val="right"/>
              <w:rPr>
                <w:rFonts w:ascii="Arial" w:eastAsia="Arial" w:hAnsi="Arial" w:cs="Arial"/>
              </w:rPr>
            </w:pPr>
            <w:r>
              <w:rPr>
                <w:rFonts w:ascii="Arial" w:eastAsia="Arial" w:hAnsi="Arial" w:cs="Arial"/>
              </w:rPr>
              <w:t>0.000</w:t>
            </w:r>
          </w:p>
        </w:tc>
        <w:tc>
          <w:tcPr>
            <w:tcW w:w="1469" w:type="dxa"/>
          </w:tcPr>
          <w:p w:rsidR="001D4EED" w:rsidP="00720DCA">
            <w:pPr>
              <w:jc w:val="right"/>
              <w:rPr>
                <w:rFonts w:ascii="Arial" w:eastAsia="Arial" w:hAnsi="Arial" w:cs="Arial"/>
              </w:rPr>
            </w:pPr>
            <w:r>
              <w:rPr>
                <w:rFonts w:ascii="Arial" w:eastAsia="Arial" w:hAnsi="Arial" w:cs="Arial"/>
              </w:rPr>
              <w:t>1.000</w:t>
            </w:r>
          </w:p>
        </w:tc>
      </w:tr>
      <w:tr w:rsidTr="00720DCA">
        <w:tblPrEx>
          <w:tblW w:w="0" w:type="auto"/>
          <w:tblInd w:w="360" w:type="dxa"/>
          <w:tblCellMar>
            <w:left w:w="0" w:type="dxa"/>
            <w:right w:w="0" w:type="dxa"/>
          </w:tblCellMar>
          <w:tblLook w:val="04A0"/>
        </w:tblPrEx>
        <w:tc>
          <w:tcPr>
            <w:tcW w:w="5069" w:type="dxa"/>
          </w:tcPr>
          <w:p w:rsidR="001D4EED" w:rsidP="00720DCA">
            <w:pPr>
              <w:ind w:left="180"/>
              <w:rPr>
                <w:rFonts w:ascii="Arial" w:eastAsia="Arial" w:hAnsi="Arial" w:cs="Arial"/>
              </w:rPr>
            </w:pPr>
            <w:r>
              <w:rPr>
                <w:rFonts w:ascii="Arial" w:eastAsia="Arial" w:hAnsi="Arial" w:cs="Arial"/>
              </w:rPr>
              <w:t>Personal Services</w:t>
            </w:r>
          </w:p>
        </w:tc>
        <w:tc>
          <w:tcPr>
            <w:tcW w:w="1469" w:type="dxa"/>
          </w:tcPr>
          <w:p w:rsidR="001D4EED" w:rsidP="00720DCA">
            <w:pPr>
              <w:jc w:val="right"/>
              <w:rPr>
                <w:rFonts w:ascii="Arial" w:eastAsia="Arial" w:hAnsi="Arial" w:cs="Arial"/>
              </w:rPr>
            </w:pPr>
            <w:r>
              <w:rPr>
                <w:rFonts w:ascii="Arial" w:eastAsia="Arial" w:hAnsi="Arial" w:cs="Arial"/>
              </w:rPr>
              <w:t>$0</w:t>
            </w:r>
          </w:p>
        </w:tc>
        <w:tc>
          <w:tcPr>
            <w:tcW w:w="1469" w:type="dxa"/>
          </w:tcPr>
          <w:p w:rsidR="001D4EED" w:rsidP="00720DCA">
            <w:pPr>
              <w:jc w:val="right"/>
              <w:rPr>
                <w:rFonts w:ascii="Arial" w:eastAsia="Arial" w:hAnsi="Arial" w:cs="Arial"/>
              </w:rPr>
            </w:pPr>
            <w:r>
              <w:rPr>
                <w:rFonts w:ascii="Arial" w:eastAsia="Arial" w:hAnsi="Arial" w:cs="Arial"/>
              </w:rPr>
              <w:t>$85,182</w:t>
            </w:r>
          </w:p>
        </w:tc>
      </w:tr>
      <w:tr w:rsidTr="00720DCA">
        <w:tblPrEx>
          <w:tblW w:w="0" w:type="auto"/>
          <w:tblInd w:w="360" w:type="dxa"/>
          <w:tblCellMar>
            <w:left w:w="0" w:type="dxa"/>
            <w:right w:w="0" w:type="dxa"/>
          </w:tblCellMar>
          <w:tblLook w:val="04A0"/>
        </w:tblPrEx>
        <w:tc>
          <w:tcPr>
            <w:tcW w:w="5069" w:type="dxa"/>
          </w:tcPr>
          <w:p w:rsidR="001D4EED" w:rsidP="00720DCA">
            <w:pPr>
              <w:ind w:left="180"/>
              <w:rPr>
                <w:rFonts w:ascii="Arial" w:eastAsia="Arial" w:hAnsi="Arial" w:cs="Arial"/>
              </w:rPr>
            </w:pPr>
            <w:r>
              <w:rPr>
                <w:rFonts w:ascii="Arial" w:eastAsia="Arial" w:hAnsi="Arial" w:cs="Arial"/>
              </w:rPr>
              <w:t>All Other</w:t>
            </w:r>
          </w:p>
        </w:tc>
        <w:tc>
          <w:tcPr>
            <w:tcW w:w="1469" w:type="dxa"/>
          </w:tcPr>
          <w:p w:rsidR="001D4EED" w:rsidP="00720DCA">
            <w:pPr>
              <w:jc w:val="right"/>
              <w:rPr>
                <w:rFonts w:ascii="Arial" w:eastAsia="Arial" w:hAnsi="Arial" w:cs="Arial"/>
              </w:rPr>
            </w:pPr>
            <w:r>
              <w:rPr>
                <w:rFonts w:ascii="Arial" w:eastAsia="Arial" w:hAnsi="Arial" w:cs="Arial"/>
              </w:rPr>
              <w:t>$0</w:t>
            </w:r>
          </w:p>
        </w:tc>
        <w:tc>
          <w:tcPr>
            <w:tcW w:w="1469" w:type="dxa"/>
          </w:tcPr>
          <w:p w:rsidR="001D4EED" w:rsidP="00720DCA">
            <w:pPr>
              <w:jc w:val="right"/>
              <w:rPr>
                <w:rFonts w:ascii="Arial" w:eastAsia="Arial" w:hAnsi="Arial" w:cs="Arial"/>
              </w:rPr>
            </w:pPr>
            <w:r>
              <w:rPr>
                <w:rFonts w:ascii="Arial" w:eastAsia="Arial" w:hAnsi="Arial" w:cs="Arial"/>
              </w:rPr>
              <w:t>$18,000</w:t>
            </w:r>
          </w:p>
        </w:tc>
      </w:tr>
      <w:tr w:rsidTr="00720DCA">
        <w:tblPrEx>
          <w:tblW w:w="0" w:type="auto"/>
          <w:tblInd w:w="360" w:type="dxa"/>
          <w:tblCellMar>
            <w:left w:w="0" w:type="dxa"/>
            <w:right w:w="0" w:type="dxa"/>
          </w:tblCellMar>
          <w:tblLook w:val="04A0"/>
        </w:tblPrEx>
        <w:tc>
          <w:tcPr>
            <w:tcW w:w="5069" w:type="dxa"/>
          </w:tcPr>
          <w:p w:rsidR="001D4EED" w:rsidP="00720DCA">
            <w:pPr>
              <w:rPr>
                <w:rFonts w:ascii="Arial" w:eastAsia="Arial" w:hAnsi="Arial" w:cs="Arial"/>
              </w:rPr>
            </w:pPr>
            <w:r>
              <w:rPr>
                <w:rFonts w:ascii="Arial" w:eastAsia="Arial" w:hAnsi="Arial" w:cs="Arial"/>
              </w:rPr>
              <w:t xml:space="preserve"> </w:t>
            </w:r>
          </w:p>
        </w:tc>
        <w:tc>
          <w:tcPr>
            <w:tcW w:w="1469" w:type="dxa"/>
          </w:tcPr>
          <w:p w:rsidR="001D4EED" w:rsidP="00720DCA">
            <w:pPr>
              <w:jc w:val="right"/>
              <w:rPr>
                <w:rFonts w:ascii="Arial" w:eastAsia="Arial" w:hAnsi="Arial" w:cs="Arial"/>
              </w:rPr>
            </w:pPr>
            <w:r>
              <w:rPr>
                <w:rFonts w:ascii="Arial" w:eastAsia="Arial" w:hAnsi="Arial" w:cs="Arial"/>
              </w:rPr>
              <w:t>__________</w:t>
            </w:r>
          </w:p>
        </w:tc>
        <w:tc>
          <w:tcPr>
            <w:tcW w:w="1469" w:type="dxa"/>
          </w:tcPr>
          <w:p w:rsidR="001D4EED" w:rsidP="00720DCA">
            <w:pPr>
              <w:jc w:val="right"/>
              <w:rPr>
                <w:rFonts w:ascii="Arial" w:eastAsia="Arial" w:hAnsi="Arial" w:cs="Arial"/>
              </w:rPr>
            </w:pPr>
            <w:r>
              <w:rPr>
                <w:rFonts w:ascii="Arial" w:eastAsia="Arial" w:hAnsi="Arial" w:cs="Arial"/>
              </w:rPr>
              <w:t>__________</w:t>
            </w:r>
          </w:p>
        </w:tc>
      </w:tr>
      <w:tr w:rsidTr="00720DCA">
        <w:tblPrEx>
          <w:tblW w:w="0" w:type="auto"/>
          <w:tblInd w:w="360" w:type="dxa"/>
          <w:tblCellMar>
            <w:left w:w="0" w:type="dxa"/>
            <w:right w:w="0" w:type="dxa"/>
          </w:tblCellMar>
          <w:tblLook w:val="04A0"/>
        </w:tblPrEx>
        <w:tc>
          <w:tcPr>
            <w:tcW w:w="5069" w:type="dxa"/>
          </w:tcPr>
          <w:p w:rsidR="001D4EED" w:rsidP="00720DCA">
            <w:pPr>
              <w:rPr>
                <w:rFonts w:ascii="Arial" w:eastAsia="Arial" w:hAnsi="Arial" w:cs="Arial"/>
              </w:rPr>
            </w:pPr>
            <w:r>
              <w:rPr>
                <w:rFonts w:ascii="Arial" w:eastAsia="Arial" w:hAnsi="Arial" w:cs="Arial"/>
              </w:rPr>
              <w:t>GENERAL FUND TOTAL</w:t>
            </w:r>
          </w:p>
        </w:tc>
        <w:tc>
          <w:tcPr>
            <w:tcW w:w="1469" w:type="dxa"/>
          </w:tcPr>
          <w:p w:rsidR="001D4EED" w:rsidP="00720DCA">
            <w:pPr>
              <w:jc w:val="right"/>
              <w:rPr>
                <w:rFonts w:ascii="Arial" w:eastAsia="Arial" w:hAnsi="Arial" w:cs="Arial"/>
              </w:rPr>
            </w:pPr>
            <w:r>
              <w:rPr>
                <w:rFonts w:ascii="Arial" w:eastAsia="Arial" w:hAnsi="Arial" w:cs="Arial"/>
              </w:rPr>
              <w:t>$0</w:t>
            </w:r>
          </w:p>
        </w:tc>
        <w:tc>
          <w:tcPr>
            <w:tcW w:w="1469" w:type="dxa"/>
          </w:tcPr>
          <w:p w:rsidR="001D4EED" w:rsidP="00720DCA">
            <w:pPr>
              <w:jc w:val="right"/>
              <w:rPr>
                <w:rFonts w:ascii="Arial" w:eastAsia="Arial" w:hAnsi="Arial" w:cs="Arial"/>
              </w:rPr>
            </w:pPr>
            <w:r>
              <w:rPr>
                <w:rFonts w:ascii="Arial" w:eastAsia="Arial" w:hAnsi="Arial" w:cs="Arial"/>
              </w:rPr>
              <w:t>$103,182</w:t>
            </w:r>
          </w:p>
        </w:tc>
      </w:tr>
      <w:bookmarkEnd w:id="2"/>
      <w:bookmarkEnd w:id="6"/>
      <w:bookmarkEnd w:id="7"/>
      <w:bookmarkEnd w:id="7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LR1431,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Appliance Energy and Water Standards</w:t>
    </w:r>
  </w:p>
  <w:p>
    <w:pPr>
      <w:suppressLineNumbers/>
      <w:spacing w:before="0" w:after="0"/>
      <w:jc w:val="center"/>
      <w:rPr>
        <w:rFonts w:ascii="Arial" w:eastAsia="Arial" w:hAnsi="Arial" w:cs="Arial"/>
      </w:rPr>
    </w:pPr>
    <w:r>
      <w:rPr>
        <w:rFonts w:ascii="Arial" w:eastAsia="Arial" w:hAnsi="Arial" w:cs="Arial"/>
        <w:sz w:val="22"/>
      </w:rPr>
      <w:t>L.D. 940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4EED"/>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0DC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69FF"/>
    <w:rsid w:val="00CA163F"/>
    <w:rsid w:val="00CB527B"/>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