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a Pilot Project to Provide Transportation to Medically Managed Withdrawal Sites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626 - L.D. 979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a Pilot Project to Provide Transportation to Medically Managed Withdrawal Sites</w:t>
      </w:r>
    </w:p>
    <w:p w:rsidR="007A260F" w:rsidP="007A260F">
      <w:pPr>
        <w:ind w:left="360" w:firstLine="360"/>
        <w:rPr>
          <w:rFonts w:ascii="Arial" w:eastAsia="Arial" w:hAnsi="Arial" w:cs="Arial"/>
        </w:rPr>
      </w:pPr>
      <w:bookmarkStart w:id="0" w:name="_BILL_SECTION_UNALLOCATED__d733085f_64ee"/>
      <w:bookmarkStart w:id="1" w:name="_INSTRUCTION__6a8d8cbc_b34e_4acc_ab4f_b1"/>
      <w:bookmarkStart w:id="2" w:name="_DOC_BODY_CONTENT__b6bc0662_4ccc_497a_89"/>
      <w:bookmarkStart w:id="3" w:name="_DOC_BODY_CONTAINER__529b8ce1_d6ff_4020_"/>
      <w:r>
        <w:rPr>
          <w:rFonts w:ascii="Arial" w:eastAsia="Arial" w:hAnsi="Arial" w:cs="Arial"/>
          <w:b/>
          <w:sz w:val="24"/>
        </w:rPr>
        <w:t xml:space="preserve">Sec. </w:t>
      </w:r>
      <w:bookmarkStart w:id="4" w:name="_BILL_SECTION_NUMBER__8a24a43a_76c1_4cb4"/>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CE5AFE">
        <w:rPr>
          <w:rFonts w:ascii="Arial" w:eastAsia="Arial" w:hAnsi="Arial" w:cs="Arial"/>
          <w:b/>
          <w:sz w:val="24"/>
          <w:szCs w:val="24"/>
        </w:rPr>
        <w:t>Department of Health and Human Services to fund transportation from hypodermic apparatus exchange programs to medically managed withdrawal sites; one-year pilot program.  Resolved:</w:t>
      </w:r>
      <w:r w:rsidRPr="00CE5AFE">
        <w:rPr>
          <w:rFonts w:ascii="Arial" w:eastAsia="Arial" w:hAnsi="Arial" w:cs="Arial"/>
        </w:rPr>
        <w:t xml:space="preserve">  That the Department of Health and Human Services shall establish a one-year pilot program to provide transportation from certified hypodermic apparatus exchange programs to medically managed withdrawal sites for individuals who are willing </w:t>
      </w:r>
      <w:r>
        <w:rPr>
          <w:rFonts w:ascii="Arial" w:eastAsia="Arial" w:hAnsi="Arial" w:cs="Arial"/>
        </w:rPr>
        <w:t xml:space="preserve">to use </w:t>
      </w:r>
      <w:r w:rsidRPr="00CE5AFE">
        <w:rPr>
          <w:rFonts w:ascii="Arial" w:eastAsia="Arial" w:hAnsi="Arial" w:cs="Arial"/>
        </w:rPr>
        <w:t xml:space="preserve">and desire medically managed withdrawal services but lack transportation services to get to the site.  The department shall contract with </w:t>
      </w:r>
      <w:r>
        <w:rPr>
          <w:rFonts w:ascii="Arial" w:eastAsia="Arial" w:hAnsi="Arial" w:cs="Arial"/>
        </w:rPr>
        <w:t>2</w:t>
      </w:r>
      <w:r w:rsidRPr="00CE5AFE">
        <w:rPr>
          <w:rFonts w:ascii="Arial" w:eastAsia="Arial" w:hAnsi="Arial" w:cs="Arial"/>
        </w:rPr>
        <w:t xml:space="preserve"> certified hypodermic apparatus exchange programs for a one-year period with </w:t>
      </w:r>
      <w:r>
        <w:rPr>
          <w:rFonts w:ascii="Arial" w:eastAsia="Arial" w:hAnsi="Arial" w:cs="Arial"/>
        </w:rPr>
        <w:t xml:space="preserve">total </w:t>
      </w:r>
      <w:r w:rsidRPr="00CE5AFE">
        <w:rPr>
          <w:rFonts w:ascii="Arial" w:eastAsia="Arial" w:hAnsi="Arial" w:cs="Arial"/>
        </w:rPr>
        <w:t xml:space="preserve">funding of no more than $30,000.  One of the programs must be located in an urban area of the </w:t>
      </w:r>
      <w:r>
        <w:rPr>
          <w:rFonts w:ascii="Arial" w:eastAsia="Arial" w:hAnsi="Arial" w:cs="Arial"/>
        </w:rPr>
        <w:t>S</w:t>
      </w:r>
      <w:r w:rsidRPr="00CE5AFE">
        <w:rPr>
          <w:rFonts w:ascii="Arial" w:eastAsia="Arial" w:hAnsi="Arial" w:cs="Arial"/>
        </w:rPr>
        <w:t xml:space="preserve">tate and one must be located in a rural area of the </w:t>
      </w:r>
      <w:r>
        <w:rPr>
          <w:rFonts w:ascii="Arial" w:eastAsia="Arial" w:hAnsi="Arial" w:cs="Arial"/>
        </w:rPr>
        <w:t>S</w:t>
      </w:r>
      <w:r w:rsidRPr="00CE5AFE">
        <w:rPr>
          <w:rFonts w:ascii="Arial" w:eastAsia="Arial" w:hAnsi="Arial" w:cs="Arial"/>
        </w:rPr>
        <w:t xml:space="preserve">tate.  The certified hypodermic apparatus exchange programs receiving the funding from the department are responsible for providing transportation services to medically managed withdrawal sites and collecting data on </w:t>
      </w:r>
      <w:r>
        <w:rPr>
          <w:rFonts w:ascii="Arial" w:eastAsia="Arial" w:hAnsi="Arial" w:cs="Arial"/>
        </w:rPr>
        <w:t>service</w:t>
      </w:r>
      <w:r w:rsidRPr="00CE5AFE">
        <w:rPr>
          <w:rFonts w:ascii="Arial" w:eastAsia="Arial" w:hAnsi="Arial" w:cs="Arial"/>
        </w:rPr>
        <w:t xml:space="preserve"> use.  The department may contract for the service required in this section as part of its next regular contracting process with hypodermic apparatus exchange programs.  The department shall submit a report, no later than January 15,</w:t>
      </w:r>
      <w:bookmarkStart w:id="5" w:name="_ENGROSSING_REV__b9137338_9d07_4abd_9083"/>
      <w:bookmarkStart w:id="6" w:name="_REV__3cfe09d7_6bb2_4023_86d6_0edef0a97b"/>
      <w:bookmarkEnd w:id="5"/>
      <w:r>
        <w:rPr>
          <w:rFonts w:ascii="Arial" w:eastAsia="Arial" w:hAnsi="Arial" w:cs="Arial"/>
        </w:rPr>
        <w:t xml:space="preserve"> </w:t>
      </w:r>
      <w:r>
        <w:rPr>
          <w:rFonts w:ascii="Arial" w:eastAsia="Arial" w:hAnsi="Arial" w:cs="Arial"/>
        </w:rPr>
        <w:t>2026</w:t>
      </w:r>
      <w:bookmarkEnd w:id="6"/>
      <w:r w:rsidRPr="00CE5AFE">
        <w:rPr>
          <w:rFonts w:ascii="Arial" w:eastAsia="Arial" w:hAnsi="Arial" w:cs="Arial"/>
        </w:rPr>
        <w:t xml:space="preserve">, to the joint standing committee of the Legislature having jurisdiction over health and human services matters with the results of the pilot program.  The report must include the number of individuals who received transportation services, the distances traveled in the rural and urban sites, the adequacy of the funding and an estimate of the cost of providing such services statewide.  The joint standing committee of the Legislature having jurisdiction over health and human services matters is authorized to report out legislation to the </w:t>
      </w:r>
      <w:bookmarkStart w:id="7" w:name="_ENGROSSING_REV__c7b24cc0_7584_4da2_b146"/>
      <w:bookmarkStart w:id="8" w:name="_REV__6f95f7a5_d83a_4c05_a76f_bac7420d09"/>
      <w:bookmarkEnd w:id="7"/>
      <w:r>
        <w:rPr>
          <w:rFonts w:ascii="Arial" w:eastAsia="Arial" w:hAnsi="Arial" w:cs="Arial"/>
        </w:rPr>
        <w:t>Second Regular Session of the 132nd Legislature</w:t>
      </w:r>
      <w:bookmarkEnd w:id="8"/>
      <w:r w:rsidRPr="00CE5AFE">
        <w:rPr>
          <w:rFonts w:ascii="Arial" w:eastAsia="Arial" w:hAnsi="Arial" w:cs="Arial"/>
        </w:rPr>
        <w:t>.</w:t>
      </w:r>
    </w:p>
    <w:p w:rsidR="007A260F" w:rsidP="007A260F">
      <w:pPr>
        <w:ind w:left="360" w:firstLine="360"/>
        <w:rPr>
          <w:rFonts w:ascii="Arial" w:eastAsia="Arial" w:hAnsi="Arial" w:cs="Arial"/>
        </w:rPr>
      </w:pPr>
      <w:bookmarkStart w:id="9" w:name="_APPROP_SECTION__896193d5_5b66_4f5e_9fce"/>
      <w:bookmarkStart w:id="10" w:name="_INSTRUCTION__9e548b5d_70f6_47a9_a5ac_16"/>
      <w:bookmarkEnd w:id="0"/>
      <w:r>
        <w:rPr>
          <w:rFonts w:ascii="Arial" w:eastAsia="Arial" w:hAnsi="Arial" w:cs="Arial"/>
          <w:b/>
          <w:sz w:val="24"/>
        </w:rPr>
        <w:t xml:space="preserve">Sec. </w:t>
      </w:r>
      <w:bookmarkStart w:id="11" w:name="_BILL_SECTION_NUMBER__57b8b0ea_1e90_414e"/>
      <w:r>
        <w:rPr>
          <w:rFonts w:ascii="Arial" w:eastAsia="Arial" w:hAnsi="Arial" w:cs="Arial"/>
          <w:b/>
          <w:sz w:val="24"/>
        </w:rPr>
        <w:t>2</w:t>
      </w:r>
      <w:bookmarkEnd w:id="11"/>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7A260F" w:rsidP="007A260F">
      <w:pPr>
        <w:pStyle w:val="BPSParagraphLeftAlign"/>
        <w:suppressAutoHyphens/>
        <w:ind w:left="360"/>
        <w:rPr>
          <w:rFonts w:ascii="Arial" w:eastAsia="Arial" w:hAnsi="Arial" w:cs="Arial"/>
        </w:rPr>
      </w:pPr>
      <w:r>
        <w:rPr>
          <w:rFonts w:ascii="Arial" w:eastAsia="Arial" w:hAnsi="Arial" w:cs="Arial"/>
          <w:b/>
        </w:rPr>
        <w:t>HEALTH AND HUMAN SERVICES, DEPARTMENT OF</w:t>
      </w:r>
    </w:p>
    <w:p w:rsidR="007A260F" w:rsidP="007A260F">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7A260F" w:rsidP="007A260F">
      <w:pPr>
        <w:ind w:left="360"/>
        <w:rPr>
          <w:rFonts w:ascii="Arial" w:eastAsia="Arial" w:hAnsi="Arial" w:cs="Arial"/>
        </w:rPr>
      </w:pPr>
      <w:r>
        <w:rPr>
          <w:rFonts w:ascii="Arial" w:eastAsia="Arial" w:hAnsi="Arial" w:cs="Arial"/>
        </w:rPr>
        <w:t>Initiative: Provides one-time funding for the department to contract with 3rd parties for a one-year pilot program to provide transportation from certified hypodermic apparatus exchange programs to medically managed withdrawal sites.</w:t>
      </w:r>
    </w:p>
    <w:tbl>
      <w:tblPr>
        <w:tblStyle w:val="BPSTable"/>
        <w:tblW w:w="0" w:type="auto"/>
        <w:tblInd w:w="360" w:type="dxa"/>
        <w:tblCellMar>
          <w:left w:w="0" w:type="dxa"/>
          <w:right w:w="0" w:type="dxa"/>
        </w:tblCellMar>
        <w:tblLook w:val="04A0"/>
      </w:tblPr>
      <w:tblGrid>
        <w:gridCol w:w="5009"/>
        <w:gridCol w:w="1463"/>
        <w:gridCol w:w="1463"/>
      </w:tblGrid>
      <w:tr w:rsidTr="00D46153">
        <w:tblPrEx>
          <w:tblW w:w="0" w:type="auto"/>
          <w:tblInd w:w="360" w:type="dxa"/>
          <w:tblCellMar>
            <w:left w:w="0" w:type="dxa"/>
            <w:right w:w="0" w:type="dxa"/>
          </w:tblCellMar>
          <w:tblLook w:val="04A0"/>
        </w:tblPrEx>
        <w:tc>
          <w:tcPr>
            <w:tcW w:w="5069" w:type="dxa"/>
          </w:tcPr>
          <w:p w:rsidR="007A260F" w:rsidP="00D46153">
            <w:pPr>
              <w:rPr>
                <w:rFonts w:ascii="Arial" w:eastAsia="Arial" w:hAnsi="Arial" w:cs="Arial"/>
              </w:rPr>
            </w:pPr>
            <w:r>
              <w:rPr>
                <w:rFonts w:ascii="Arial" w:eastAsia="Arial" w:hAnsi="Arial" w:cs="Arial"/>
                <w:b/>
              </w:rPr>
              <w:t>GENERAL FUND</w:t>
            </w:r>
          </w:p>
        </w:tc>
        <w:tc>
          <w:tcPr>
            <w:tcW w:w="1469" w:type="dxa"/>
          </w:tcPr>
          <w:p w:rsidR="007A260F" w:rsidP="00D46153">
            <w:pPr>
              <w:jc w:val="right"/>
              <w:rPr>
                <w:rFonts w:ascii="Arial" w:eastAsia="Arial" w:hAnsi="Arial" w:cs="Arial"/>
              </w:rPr>
            </w:pPr>
            <w:r>
              <w:rPr>
                <w:rFonts w:ascii="Arial" w:eastAsia="Arial" w:hAnsi="Arial" w:cs="Arial"/>
                <w:b/>
              </w:rPr>
              <w:t>2023-24</w:t>
            </w:r>
          </w:p>
        </w:tc>
        <w:tc>
          <w:tcPr>
            <w:tcW w:w="1469" w:type="dxa"/>
          </w:tcPr>
          <w:p w:rsidR="007A260F" w:rsidP="00D46153">
            <w:pPr>
              <w:jc w:val="right"/>
              <w:rPr>
                <w:rFonts w:ascii="Arial" w:eastAsia="Arial" w:hAnsi="Arial" w:cs="Arial"/>
              </w:rPr>
            </w:pPr>
            <w:r>
              <w:rPr>
                <w:rFonts w:ascii="Arial" w:eastAsia="Arial" w:hAnsi="Arial" w:cs="Arial"/>
                <w:b/>
              </w:rPr>
              <w:t>2024-25</w:t>
            </w:r>
          </w:p>
        </w:tc>
      </w:tr>
      <w:tr w:rsidTr="00D46153">
        <w:tblPrEx>
          <w:tblW w:w="0" w:type="auto"/>
          <w:tblInd w:w="360" w:type="dxa"/>
          <w:tblCellMar>
            <w:left w:w="0" w:type="dxa"/>
            <w:right w:w="0" w:type="dxa"/>
          </w:tblCellMar>
          <w:tblLook w:val="04A0"/>
        </w:tblPrEx>
        <w:tc>
          <w:tcPr>
            <w:tcW w:w="5069" w:type="dxa"/>
          </w:tcPr>
          <w:p w:rsidR="007A260F" w:rsidP="00D46153">
            <w:pPr>
              <w:ind w:left="180"/>
              <w:rPr>
                <w:rFonts w:ascii="Arial" w:eastAsia="Arial" w:hAnsi="Arial" w:cs="Arial"/>
              </w:rPr>
            </w:pPr>
            <w:r>
              <w:rPr>
                <w:rFonts w:ascii="Arial" w:eastAsia="Arial" w:hAnsi="Arial" w:cs="Arial"/>
              </w:rPr>
              <w:t>All Other</w:t>
            </w:r>
          </w:p>
        </w:tc>
        <w:tc>
          <w:tcPr>
            <w:tcW w:w="1469" w:type="dxa"/>
          </w:tcPr>
          <w:p w:rsidR="007A260F" w:rsidP="00D46153">
            <w:pPr>
              <w:jc w:val="right"/>
              <w:rPr>
                <w:rFonts w:ascii="Arial" w:eastAsia="Arial" w:hAnsi="Arial" w:cs="Arial"/>
              </w:rPr>
            </w:pPr>
            <w:r>
              <w:rPr>
                <w:rFonts w:ascii="Arial" w:eastAsia="Arial" w:hAnsi="Arial" w:cs="Arial"/>
              </w:rPr>
              <w:t>$0</w:t>
            </w:r>
          </w:p>
        </w:tc>
        <w:tc>
          <w:tcPr>
            <w:tcW w:w="1469" w:type="dxa"/>
          </w:tcPr>
          <w:p w:rsidR="007A260F" w:rsidP="00D46153">
            <w:pPr>
              <w:jc w:val="right"/>
              <w:rPr>
                <w:rFonts w:ascii="Arial" w:eastAsia="Arial" w:hAnsi="Arial" w:cs="Arial"/>
              </w:rPr>
            </w:pPr>
            <w:r>
              <w:rPr>
                <w:rFonts w:ascii="Arial" w:eastAsia="Arial" w:hAnsi="Arial" w:cs="Arial"/>
              </w:rPr>
              <w:t>$30,000</w:t>
            </w:r>
          </w:p>
        </w:tc>
      </w:tr>
      <w:tr w:rsidTr="00D46153">
        <w:tblPrEx>
          <w:tblW w:w="0" w:type="auto"/>
          <w:tblInd w:w="360" w:type="dxa"/>
          <w:tblCellMar>
            <w:left w:w="0" w:type="dxa"/>
            <w:right w:w="0" w:type="dxa"/>
          </w:tblCellMar>
          <w:tblLook w:val="04A0"/>
        </w:tblPrEx>
        <w:tc>
          <w:tcPr>
            <w:tcW w:w="5069" w:type="dxa"/>
          </w:tcPr>
          <w:p w:rsidR="007A260F" w:rsidP="00D46153">
            <w:pPr>
              <w:rPr>
                <w:rFonts w:ascii="Arial" w:eastAsia="Arial" w:hAnsi="Arial" w:cs="Arial"/>
              </w:rPr>
            </w:pPr>
            <w:r>
              <w:rPr>
                <w:rFonts w:ascii="Arial" w:eastAsia="Arial" w:hAnsi="Arial" w:cs="Arial"/>
              </w:rPr>
              <w:t xml:space="preserve"> </w:t>
            </w:r>
          </w:p>
        </w:tc>
        <w:tc>
          <w:tcPr>
            <w:tcW w:w="1469" w:type="dxa"/>
          </w:tcPr>
          <w:p w:rsidR="007A260F" w:rsidP="00D46153">
            <w:pPr>
              <w:jc w:val="right"/>
              <w:rPr>
                <w:rFonts w:ascii="Arial" w:eastAsia="Arial" w:hAnsi="Arial" w:cs="Arial"/>
              </w:rPr>
            </w:pPr>
            <w:r>
              <w:rPr>
                <w:rFonts w:ascii="Arial" w:eastAsia="Arial" w:hAnsi="Arial" w:cs="Arial"/>
              </w:rPr>
              <w:t>__________</w:t>
            </w:r>
          </w:p>
        </w:tc>
        <w:tc>
          <w:tcPr>
            <w:tcW w:w="1469" w:type="dxa"/>
          </w:tcPr>
          <w:p w:rsidR="007A260F" w:rsidP="00D46153">
            <w:pPr>
              <w:jc w:val="right"/>
              <w:rPr>
                <w:rFonts w:ascii="Arial" w:eastAsia="Arial" w:hAnsi="Arial" w:cs="Arial"/>
              </w:rPr>
            </w:pPr>
            <w:r>
              <w:rPr>
                <w:rFonts w:ascii="Arial" w:eastAsia="Arial" w:hAnsi="Arial" w:cs="Arial"/>
              </w:rPr>
              <w:t>__________</w:t>
            </w:r>
          </w:p>
        </w:tc>
      </w:tr>
      <w:tr w:rsidTr="00D46153">
        <w:tblPrEx>
          <w:tblW w:w="0" w:type="auto"/>
          <w:tblInd w:w="360" w:type="dxa"/>
          <w:tblCellMar>
            <w:left w:w="0" w:type="dxa"/>
            <w:right w:w="0" w:type="dxa"/>
          </w:tblCellMar>
          <w:tblLook w:val="04A0"/>
        </w:tblPrEx>
        <w:tc>
          <w:tcPr>
            <w:tcW w:w="5069" w:type="dxa"/>
          </w:tcPr>
          <w:p w:rsidR="007A260F" w:rsidP="00D46153">
            <w:pPr>
              <w:rPr>
                <w:rFonts w:ascii="Arial" w:eastAsia="Arial" w:hAnsi="Arial" w:cs="Arial"/>
              </w:rPr>
            </w:pPr>
            <w:r>
              <w:rPr>
                <w:rFonts w:ascii="Arial" w:eastAsia="Arial" w:hAnsi="Arial" w:cs="Arial"/>
              </w:rPr>
              <w:t>GENERAL FUND TOTAL</w:t>
            </w:r>
          </w:p>
        </w:tc>
        <w:tc>
          <w:tcPr>
            <w:tcW w:w="1469" w:type="dxa"/>
          </w:tcPr>
          <w:p w:rsidR="007A260F" w:rsidP="00D46153">
            <w:pPr>
              <w:jc w:val="right"/>
              <w:rPr>
                <w:rFonts w:ascii="Arial" w:eastAsia="Arial" w:hAnsi="Arial" w:cs="Arial"/>
              </w:rPr>
            </w:pPr>
            <w:r>
              <w:rPr>
                <w:rFonts w:ascii="Arial" w:eastAsia="Arial" w:hAnsi="Arial" w:cs="Arial"/>
              </w:rPr>
              <w:t>$0</w:t>
            </w:r>
          </w:p>
        </w:tc>
        <w:tc>
          <w:tcPr>
            <w:tcW w:w="1469" w:type="dxa"/>
          </w:tcPr>
          <w:p w:rsidR="007A260F" w:rsidP="00D46153">
            <w:pPr>
              <w:jc w:val="right"/>
              <w:rPr>
                <w:rFonts w:ascii="Arial" w:eastAsia="Arial" w:hAnsi="Arial" w:cs="Arial"/>
              </w:rPr>
            </w:pPr>
            <w:r>
              <w:rPr>
                <w:rFonts w:ascii="Arial" w:eastAsia="Arial" w:hAnsi="Arial" w:cs="Arial"/>
              </w:rPr>
              <w:t>$30,000</w:t>
            </w:r>
          </w:p>
        </w:tc>
      </w:tr>
      <w:bookmarkEnd w:id="1"/>
      <w:bookmarkEnd w:id="2"/>
      <w:bookmarkEnd w:id="3"/>
      <w:bookmarkEnd w:id="9"/>
      <w:bookmarkEnd w:id="1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LR1988, item 5 - 131st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a Pilot Project to Provide Transportation to Medically Managed Withdrawal Sites</w:t>
    </w:r>
  </w:p>
  <w:p>
    <w:pPr>
      <w:suppressLineNumbers/>
      <w:spacing w:before="0" w:after="0"/>
      <w:jc w:val="center"/>
      <w:rPr>
        <w:rFonts w:ascii="Arial" w:eastAsia="Arial" w:hAnsi="Arial" w:cs="Arial"/>
      </w:rPr>
    </w:pPr>
    <w:r>
      <w:rPr>
        <w:rFonts w:ascii="Arial" w:eastAsia="Arial" w:hAnsi="Arial" w:cs="Arial"/>
        <w:sz w:val="22"/>
      </w:rPr>
      <w:t>L.D. 979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A260F"/>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5AFE"/>
    <w:rsid w:val="00D0498F"/>
    <w:rsid w:val="00D1557D"/>
    <w:rsid w:val="00D36E27"/>
    <w:rsid w:val="00D4369F"/>
    <w:rsid w:val="00D46153"/>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