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Annual Cap on Funds Assessed for the Safety Education and Training Fund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806 - L.D. 1993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the Annual Cap on Funds Assessed for the Safety Education and Training Fund</w:t>
      </w:r>
    </w:p>
    <w:p w:rsidR="0003566D" w:rsidP="0003566D">
      <w:pPr>
        <w:ind w:left="360"/>
        <w:rPr>
          <w:rFonts w:ascii="Arial" w:eastAsia="Arial" w:hAnsi="Arial" w:cs="Arial"/>
        </w:rPr>
      </w:pPr>
      <w:bookmarkStart w:id="0" w:name="_ENACTING_CLAUSE__ed8421ac_2ffa_4a06_b88"/>
      <w:bookmarkStart w:id="1" w:name="_PAR__1_262b2243_6d86_4d29_82ee_67383b1f"/>
      <w:bookmarkStart w:id="2" w:name="_DOC_BODY_CONTAINER__94207a8b_b176_4840_"/>
      <w:r>
        <w:rPr>
          <w:rFonts w:ascii="Arial" w:eastAsia="Arial" w:hAnsi="Arial" w:cs="Arial"/>
          <w:b/>
        </w:rPr>
        <w:t>Be it enacted by the People of the State of Maine as follows:</w:t>
      </w:r>
    </w:p>
    <w:p w:rsidR="0003566D" w:rsidP="0003566D">
      <w:pPr>
        <w:ind w:left="360" w:firstLine="360"/>
        <w:rPr>
          <w:rFonts w:ascii="Arial" w:eastAsia="Arial" w:hAnsi="Arial" w:cs="Arial"/>
        </w:rPr>
      </w:pPr>
      <w:bookmarkStart w:id="3" w:name="_BILL_SECTION_HEADER__1d5bf828_c877_47f1"/>
      <w:bookmarkStart w:id="4" w:name="_PAR__2_55dcdb0f_2f32_4fb4_885b_097b050d"/>
      <w:bookmarkStart w:id="5" w:name="_BILL_SECTION__dce8151b_61bf_4903_94f3_f"/>
      <w:bookmarkStart w:id="6" w:name="_DOC_BODY_CONTENT__13326117_7b88_4da7_af"/>
      <w:bookmarkEnd w:id="0"/>
      <w:bookmarkEnd w:id="1"/>
      <w:r>
        <w:rPr>
          <w:rFonts w:ascii="Arial" w:eastAsia="Arial" w:hAnsi="Arial" w:cs="Arial"/>
          <w:b/>
          <w:sz w:val="24"/>
        </w:rPr>
        <w:t xml:space="preserve">Sec. </w:t>
      </w:r>
      <w:bookmarkStart w:id="7" w:name="_BILL_SECTION_NUMBER__5b4eff24_0767_4e60"/>
      <w:r>
        <w:rPr>
          <w:rFonts w:ascii="Arial" w:eastAsia="Arial" w:hAnsi="Arial" w:cs="Arial"/>
          <w:b/>
          <w:sz w:val="24"/>
        </w:rPr>
        <w:t>1</w:t>
      </w:r>
      <w:bookmarkEnd w:id="7"/>
      <w:r>
        <w:rPr>
          <w:rFonts w:ascii="Arial" w:eastAsia="Arial" w:hAnsi="Arial" w:cs="Arial"/>
          <w:b/>
          <w:sz w:val="24"/>
        </w:rPr>
        <w:t>.  26 MRSA §61, sub-§2,</w:t>
      </w:r>
      <w:r>
        <w:rPr>
          <w:rFonts w:ascii="Arial" w:eastAsia="Arial" w:hAnsi="Arial" w:cs="Arial"/>
        </w:rPr>
        <w:t xml:space="preserve"> as amended by PL 2013, c. 467, §2, is further amended to read:</w:t>
      </w:r>
    </w:p>
    <w:p w:rsidR="0003566D" w:rsidP="0003566D">
      <w:pPr>
        <w:ind w:left="360" w:firstLine="360"/>
        <w:rPr>
          <w:rFonts w:ascii="Arial" w:eastAsia="Arial" w:hAnsi="Arial" w:cs="Arial"/>
        </w:rPr>
      </w:pPr>
      <w:bookmarkStart w:id="8" w:name="_STATUTE_NUMBER__b861f448_97e6_4a98_8e14"/>
      <w:bookmarkStart w:id="9" w:name="_STATUTE_SS__dc933398_c737_436b_99fc_3a7"/>
      <w:bookmarkStart w:id="10" w:name="_PAR__3_373fea24_8274_4d74_ab5e_eccbb213"/>
      <w:bookmarkEnd w:id="3"/>
      <w:bookmarkEnd w:id="4"/>
      <w:r>
        <w:rPr>
          <w:rFonts w:ascii="Arial" w:eastAsia="Arial" w:hAnsi="Arial" w:cs="Arial"/>
          <w:b/>
        </w:rPr>
        <w:t>2</w:t>
      </w:r>
      <w:bookmarkEnd w:id="8"/>
      <w:r>
        <w:rPr>
          <w:rFonts w:ascii="Arial" w:eastAsia="Arial" w:hAnsi="Arial" w:cs="Arial"/>
          <w:b/>
        </w:rPr>
        <w:t xml:space="preserve">.  </w:t>
      </w:r>
      <w:bookmarkStart w:id="11" w:name="_STATUTE_HEADNOTE__a67ad467_1ab9_4b51_88"/>
      <w:r>
        <w:rPr>
          <w:rFonts w:ascii="Arial" w:eastAsia="Arial" w:hAnsi="Arial" w:cs="Arial"/>
          <w:b/>
        </w:rPr>
        <w:t>Source of funds.</w:t>
      </w:r>
      <w:bookmarkEnd w:id="11"/>
      <w:r>
        <w:rPr>
          <w:rFonts w:ascii="Arial" w:eastAsia="Arial" w:hAnsi="Arial" w:cs="Arial"/>
          <w:b/>
        </w:rPr>
        <w:t xml:space="preserve"> </w:t>
      </w:r>
      <w:r>
        <w:rPr>
          <w:rFonts w:ascii="Arial" w:eastAsia="Arial" w:hAnsi="Arial" w:cs="Arial"/>
        </w:rPr>
        <w:t xml:space="preserve"> </w:t>
      </w:r>
      <w:bookmarkStart w:id="12" w:name="_STATUTE_CONTENT__fd21c3b1_7967_4321_be7"/>
      <w:r>
        <w:rPr>
          <w:rFonts w:ascii="Arial" w:eastAsia="Arial" w:hAnsi="Arial" w:cs="Arial"/>
        </w:rPr>
        <w:t xml:space="preserve">The commissioner or the commissioner's designee shall annually assess a levy based on actual annual workers' compensation paid losses, excluding medical payments, paid in the most recent calendar year for which data is available by employers under former </w:t>
      </w:r>
      <w:bookmarkStart w:id="13" w:name="_CROSS_REFERENCE__16b4f6f9_e749_4dbf_87a"/>
      <w:r>
        <w:rPr>
          <w:rFonts w:ascii="Arial" w:eastAsia="Arial" w:hAnsi="Arial" w:cs="Arial"/>
        </w:rPr>
        <w:t>Title 39</w:t>
      </w:r>
      <w:bookmarkEnd w:id="13"/>
      <w:r>
        <w:rPr>
          <w:rFonts w:ascii="Arial" w:eastAsia="Arial" w:hAnsi="Arial" w:cs="Arial"/>
        </w:rPr>
        <w:t xml:space="preserve">, the Workers' Compensation Act or </w:t>
      </w:r>
      <w:bookmarkStart w:id="14" w:name="_CROSS_REFERENCE__d23cb3ce_2761_402a_92c"/>
      <w:r>
        <w:rPr>
          <w:rFonts w:ascii="Arial" w:eastAsia="Arial" w:hAnsi="Arial" w:cs="Arial"/>
        </w:rPr>
        <w:t>Title 39‑A, Part 1</w:t>
      </w:r>
      <w:bookmarkEnd w:id="14"/>
      <w:r>
        <w:rPr>
          <w:rFonts w:ascii="Arial" w:eastAsia="Arial" w:hAnsi="Arial" w:cs="Arial"/>
        </w:rPr>
        <w:t xml:space="preserve">, the Maine Workers' Compensation Act of 1992.  As soon as practicable after July 1st of each year, the commissioner or the commissioner's designee shall assess upon and collect from each insurance carrier licensed to do workers' compensation business in the State, and each group and individual self-insured employer authorized to make workers' compensation payments directly to their employees, a sum equal to that proportion of the current fiscal year's appropriation, exclusive of any federal funds, for the safety education and training program that the total workers' compensation benefits, exclusive of medical payments, paid by each licensed carrier or each group or individual self-insured employer, bear to the total of the benefits paid by all licensed carriers, and group and individual self-insured employers during the most recent calendar year for which data is available, except that the total amount levied annually may not exceed </w:t>
      </w:r>
      <w:r>
        <w:rPr>
          <w:rFonts w:ascii="Arial" w:eastAsia="Arial" w:hAnsi="Arial" w:cs="Arial"/>
          <w:strike/>
        </w:rPr>
        <w:t>1%</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of the total of the compensation benefits paid by all licensed carriers, and group and individual self-insured employers during the most recent calendar year for which data is available.  A licensed carrier or group or individual self-insured must be assessed based on all benefits paid, exclusive of medical payments, during any year for which the carrier was licensed or the group or individual self-insured employer was authorized to make workers' compensation payments directly to their employees for any portion of the year.</w:t>
      </w:r>
      <w:bookmarkEnd w:id="12"/>
    </w:p>
    <w:p w:rsidR="0003566D" w:rsidP="0003566D">
      <w:pPr>
        <w:ind w:left="360" w:firstLine="360"/>
        <w:rPr>
          <w:rFonts w:ascii="Arial" w:eastAsia="Arial" w:hAnsi="Arial" w:cs="Arial"/>
        </w:rPr>
      </w:pPr>
      <w:bookmarkStart w:id="15" w:name="_APPROP_SECTION__7f058f3a_1ec8_4c5f_a9b2"/>
      <w:bookmarkStart w:id="16" w:name="_INSTRUCTION__82cd0c82_7c47_43a3_b2b1_f6"/>
      <w:bookmarkEnd w:id="5"/>
      <w:bookmarkEnd w:id="9"/>
      <w:bookmarkEnd w:id="10"/>
      <w:r>
        <w:rPr>
          <w:rFonts w:ascii="Arial" w:eastAsia="Arial" w:hAnsi="Arial" w:cs="Arial"/>
          <w:b/>
          <w:sz w:val="24"/>
        </w:rPr>
        <w:t xml:space="preserve">Sec. </w:t>
      </w:r>
      <w:bookmarkStart w:id="17" w:name="_BILL_SECTION_NUMBER__b1eb2d4f_b8f0_422d"/>
      <w:r>
        <w:rPr>
          <w:rFonts w:ascii="Arial" w:eastAsia="Arial" w:hAnsi="Arial" w:cs="Arial"/>
          <w:b/>
          <w:sz w:val="24"/>
        </w:rPr>
        <w:t>2</w:t>
      </w:r>
      <w:bookmarkEnd w:id="17"/>
      <w:r>
        <w:rPr>
          <w:rFonts w:ascii="Arial" w:eastAsia="Arial" w:hAnsi="Arial" w:cs="Arial"/>
          <w:b/>
          <w:sz w:val="24"/>
        </w:rPr>
        <w:t>.  Appropriations and allocations.</w:t>
      </w:r>
      <w:r>
        <w:rPr>
          <w:rFonts w:ascii="Arial" w:eastAsia="Arial" w:hAnsi="Arial" w:cs="Arial"/>
        </w:rPr>
        <w:t>  The following appropriations and allocations are made.</w:t>
      </w:r>
    </w:p>
    <w:p w:rsidR="0003566D" w:rsidP="0003566D">
      <w:pPr>
        <w:pStyle w:val="BPSParagraphLeftAlign"/>
        <w:suppressAutoHyphens/>
        <w:ind w:left="360"/>
        <w:rPr>
          <w:rFonts w:ascii="Arial" w:eastAsia="Arial" w:hAnsi="Arial" w:cs="Arial"/>
        </w:rPr>
      </w:pPr>
      <w:r>
        <w:rPr>
          <w:rFonts w:ascii="Arial" w:eastAsia="Arial" w:hAnsi="Arial" w:cs="Arial"/>
          <w:b/>
        </w:rPr>
        <w:t>LABOR, DEPARTMENT OF</w:t>
      </w:r>
    </w:p>
    <w:p w:rsidR="0003566D" w:rsidP="0003566D">
      <w:pPr>
        <w:pStyle w:val="BPSParagraphLeftAlign"/>
        <w:suppressAutoHyphens/>
        <w:ind w:left="360"/>
        <w:rPr>
          <w:rFonts w:ascii="Arial" w:eastAsia="Arial" w:hAnsi="Arial" w:cs="Arial"/>
        </w:rPr>
      </w:pPr>
      <w:r>
        <w:rPr>
          <w:rFonts w:ascii="Arial" w:eastAsia="Arial" w:hAnsi="Arial" w:cs="Arial"/>
          <w:b/>
        </w:rPr>
        <w:t>Safety Education and Training Programs 0161</w:t>
      </w:r>
    </w:p>
    <w:p w:rsidR="0003566D" w:rsidP="0003566D">
      <w:pPr>
        <w:ind w:left="360"/>
        <w:rPr>
          <w:rFonts w:ascii="Arial" w:eastAsia="Arial" w:hAnsi="Arial" w:cs="Arial"/>
        </w:rPr>
      </w:pPr>
      <w:r>
        <w:rPr>
          <w:rFonts w:ascii="Arial" w:eastAsia="Arial" w:hAnsi="Arial" w:cs="Arial"/>
        </w:rPr>
        <w:t>Initiative: Allocates funds to the Department of Labor to support safety education and training programs for employers, owners, employees, educators and students.</w:t>
      </w:r>
    </w:p>
    <w:tbl>
      <w:tblPr>
        <w:tblStyle w:val="BPSTable"/>
        <w:tblW w:w="0" w:type="auto"/>
        <w:tblInd w:w="360" w:type="dxa"/>
        <w:tblCellMar>
          <w:left w:w="0" w:type="dxa"/>
          <w:right w:w="0" w:type="dxa"/>
        </w:tblCellMar>
        <w:tblLook w:val="04A0"/>
      </w:tblPr>
      <w:tblGrid>
        <w:gridCol w:w="5009"/>
        <w:gridCol w:w="1463"/>
        <w:gridCol w:w="1463"/>
      </w:tblGrid>
      <w:tr w:rsidTr="00643646">
        <w:tblPrEx>
          <w:tblW w:w="0" w:type="auto"/>
          <w:tblInd w:w="360" w:type="dxa"/>
          <w:tblCellMar>
            <w:left w:w="0" w:type="dxa"/>
            <w:right w:w="0" w:type="dxa"/>
          </w:tblCellMar>
          <w:tblLook w:val="04A0"/>
        </w:tblPrEx>
        <w:tc>
          <w:tcPr>
            <w:tcW w:w="5069" w:type="dxa"/>
          </w:tcPr>
          <w:p w:rsidR="0003566D" w:rsidP="00643646">
            <w:pPr>
              <w:rPr>
                <w:rFonts w:ascii="Arial" w:eastAsia="Arial" w:hAnsi="Arial" w:cs="Arial"/>
              </w:rPr>
            </w:pPr>
            <w:r>
              <w:rPr>
                <w:rFonts w:ascii="Arial" w:eastAsia="Arial" w:hAnsi="Arial" w:cs="Arial"/>
                <w:b/>
              </w:rPr>
              <w:t>OTHER SPECIAL REVENUE FUNDS</w:t>
            </w:r>
          </w:p>
        </w:tc>
        <w:tc>
          <w:tcPr>
            <w:tcW w:w="1469" w:type="dxa"/>
          </w:tcPr>
          <w:p w:rsidR="0003566D" w:rsidP="00643646">
            <w:pPr>
              <w:jc w:val="right"/>
              <w:rPr>
                <w:rFonts w:ascii="Arial" w:eastAsia="Arial" w:hAnsi="Arial" w:cs="Arial"/>
              </w:rPr>
            </w:pPr>
            <w:r>
              <w:rPr>
                <w:rFonts w:ascii="Arial" w:eastAsia="Arial" w:hAnsi="Arial" w:cs="Arial"/>
                <w:b/>
              </w:rPr>
              <w:t>2025-26</w:t>
            </w:r>
          </w:p>
        </w:tc>
        <w:tc>
          <w:tcPr>
            <w:tcW w:w="1469" w:type="dxa"/>
          </w:tcPr>
          <w:p w:rsidR="0003566D" w:rsidP="00643646">
            <w:pPr>
              <w:jc w:val="right"/>
              <w:rPr>
                <w:rFonts w:ascii="Arial" w:eastAsia="Arial" w:hAnsi="Arial" w:cs="Arial"/>
              </w:rPr>
            </w:pPr>
            <w:r>
              <w:rPr>
                <w:rFonts w:ascii="Arial" w:eastAsia="Arial" w:hAnsi="Arial" w:cs="Arial"/>
                <w:b/>
              </w:rPr>
              <w:t>2026-27</w:t>
            </w:r>
          </w:p>
        </w:tc>
      </w:tr>
      <w:tr w:rsidTr="00643646">
        <w:tblPrEx>
          <w:tblW w:w="0" w:type="auto"/>
          <w:tblInd w:w="360" w:type="dxa"/>
          <w:tblCellMar>
            <w:left w:w="0" w:type="dxa"/>
            <w:right w:w="0" w:type="dxa"/>
          </w:tblCellMar>
          <w:tblLook w:val="04A0"/>
        </w:tblPrEx>
        <w:tc>
          <w:tcPr>
            <w:tcW w:w="5069" w:type="dxa"/>
          </w:tcPr>
          <w:p w:rsidR="0003566D" w:rsidP="00643646">
            <w:pPr>
              <w:ind w:left="180"/>
              <w:rPr>
                <w:rFonts w:ascii="Arial" w:eastAsia="Arial" w:hAnsi="Arial" w:cs="Arial"/>
              </w:rPr>
            </w:pPr>
            <w:r>
              <w:rPr>
                <w:rFonts w:ascii="Arial" w:eastAsia="Arial" w:hAnsi="Arial" w:cs="Arial"/>
              </w:rPr>
              <w:t>All Other</w:t>
            </w:r>
          </w:p>
        </w:tc>
        <w:tc>
          <w:tcPr>
            <w:tcW w:w="1469" w:type="dxa"/>
          </w:tcPr>
          <w:p w:rsidR="0003566D" w:rsidP="00643646">
            <w:pPr>
              <w:jc w:val="right"/>
              <w:rPr>
                <w:rFonts w:ascii="Arial" w:eastAsia="Arial" w:hAnsi="Arial" w:cs="Arial"/>
              </w:rPr>
            </w:pPr>
            <w:r>
              <w:rPr>
                <w:rFonts w:ascii="Arial" w:eastAsia="Arial" w:hAnsi="Arial" w:cs="Arial"/>
              </w:rPr>
              <w:t>$0</w:t>
            </w:r>
          </w:p>
        </w:tc>
        <w:tc>
          <w:tcPr>
            <w:tcW w:w="1469" w:type="dxa"/>
          </w:tcPr>
          <w:p w:rsidR="0003566D" w:rsidP="00643646">
            <w:pPr>
              <w:jc w:val="right"/>
              <w:rPr>
                <w:rFonts w:ascii="Arial" w:eastAsia="Arial" w:hAnsi="Arial" w:cs="Arial"/>
              </w:rPr>
            </w:pPr>
            <w:r>
              <w:rPr>
                <w:rFonts w:ascii="Arial" w:eastAsia="Arial" w:hAnsi="Arial" w:cs="Arial"/>
              </w:rPr>
              <w:t>$2,230,000</w:t>
            </w:r>
          </w:p>
        </w:tc>
      </w:tr>
      <w:tr w:rsidTr="00643646">
        <w:tblPrEx>
          <w:tblW w:w="0" w:type="auto"/>
          <w:tblInd w:w="360" w:type="dxa"/>
          <w:tblCellMar>
            <w:left w:w="0" w:type="dxa"/>
            <w:right w:w="0" w:type="dxa"/>
          </w:tblCellMar>
          <w:tblLook w:val="04A0"/>
        </w:tblPrEx>
        <w:tc>
          <w:tcPr>
            <w:tcW w:w="5069" w:type="dxa"/>
          </w:tcPr>
          <w:p w:rsidR="0003566D" w:rsidP="00643646">
            <w:pPr>
              <w:rPr>
                <w:rFonts w:ascii="Arial" w:eastAsia="Arial" w:hAnsi="Arial" w:cs="Arial"/>
              </w:rPr>
            </w:pPr>
            <w:r>
              <w:rPr>
                <w:rFonts w:ascii="Arial" w:eastAsia="Arial" w:hAnsi="Arial" w:cs="Arial"/>
              </w:rPr>
              <w:t xml:space="preserve"> </w:t>
            </w:r>
          </w:p>
        </w:tc>
        <w:tc>
          <w:tcPr>
            <w:tcW w:w="1469" w:type="dxa"/>
          </w:tcPr>
          <w:p w:rsidR="0003566D" w:rsidP="00643646">
            <w:pPr>
              <w:jc w:val="right"/>
              <w:rPr>
                <w:rFonts w:ascii="Arial" w:eastAsia="Arial" w:hAnsi="Arial" w:cs="Arial"/>
              </w:rPr>
            </w:pPr>
            <w:r>
              <w:rPr>
                <w:rFonts w:ascii="Arial" w:eastAsia="Arial" w:hAnsi="Arial" w:cs="Arial"/>
              </w:rPr>
              <w:t>__________</w:t>
            </w:r>
          </w:p>
        </w:tc>
        <w:tc>
          <w:tcPr>
            <w:tcW w:w="1469" w:type="dxa"/>
          </w:tcPr>
          <w:p w:rsidR="0003566D" w:rsidP="00643646">
            <w:pPr>
              <w:jc w:val="right"/>
              <w:rPr>
                <w:rFonts w:ascii="Arial" w:eastAsia="Arial" w:hAnsi="Arial" w:cs="Arial"/>
              </w:rPr>
            </w:pPr>
            <w:r>
              <w:rPr>
                <w:rFonts w:ascii="Arial" w:eastAsia="Arial" w:hAnsi="Arial" w:cs="Arial"/>
              </w:rPr>
              <w:t>__________</w:t>
            </w:r>
          </w:p>
        </w:tc>
      </w:tr>
      <w:tr w:rsidTr="00643646">
        <w:tblPrEx>
          <w:tblW w:w="0" w:type="auto"/>
          <w:tblInd w:w="360" w:type="dxa"/>
          <w:tblCellMar>
            <w:left w:w="0" w:type="dxa"/>
            <w:right w:w="0" w:type="dxa"/>
          </w:tblCellMar>
          <w:tblLook w:val="04A0"/>
        </w:tblPrEx>
        <w:tc>
          <w:tcPr>
            <w:tcW w:w="5069" w:type="dxa"/>
          </w:tcPr>
          <w:p w:rsidR="0003566D" w:rsidP="00643646">
            <w:pPr>
              <w:rPr>
                <w:rFonts w:ascii="Arial" w:eastAsia="Arial" w:hAnsi="Arial" w:cs="Arial"/>
              </w:rPr>
            </w:pPr>
            <w:r>
              <w:rPr>
                <w:rFonts w:ascii="Arial" w:eastAsia="Arial" w:hAnsi="Arial" w:cs="Arial"/>
              </w:rPr>
              <w:t>OTHER SPECIAL REVENUE FUNDS TOTAL</w:t>
            </w:r>
          </w:p>
        </w:tc>
        <w:tc>
          <w:tcPr>
            <w:tcW w:w="1469" w:type="dxa"/>
          </w:tcPr>
          <w:p w:rsidR="0003566D" w:rsidP="00643646">
            <w:pPr>
              <w:jc w:val="right"/>
              <w:rPr>
                <w:rFonts w:ascii="Arial" w:eastAsia="Arial" w:hAnsi="Arial" w:cs="Arial"/>
              </w:rPr>
            </w:pPr>
            <w:r>
              <w:rPr>
                <w:rFonts w:ascii="Arial" w:eastAsia="Arial" w:hAnsi="Arial" w:cs="Arial"/>
              </w:rPr>
              <w:t>$0</w:t>
            </w:r>
          </w:p>
        </w:tc>
        <w:tc>
          <w:tcPr>
            <w:tcW w:w="1469" w:type="dxa"/>
          </w:tcPr>
          <w:p w:rsidR="0003566D" w:rsidP="00643646">
            <w:pPr>
              <w:jc w:val="right"/>
              <w:rPr>
                <w:rFonts w:ascii="Arial" w:eastAsia="Arial" w:hAnsi="Arial" w:cs="Arial"/>
              </w:rPr>
            </w:pPr>
            <w:r>
              <w:rPr>
                <w:rFonts w:ascii="Arial" w:eastAsia="Arial" w:hAnsi="Arial" w:cs="Arial"/>
              </w:rPr>
              <w:t>$2,230,000</w:t>
            </w:r>
          </w:p>
        </w:tc>
      </w:tr>
      <w:bookmarkEnd w:id="2"/>
      <w:bookmarkEnd w:id="6"/>
      <w:bookmarkEnd w:id="15"/>
      <w:bookmarkEnd w:id="16"/>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LR2690,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the Annual Cap on Funds Assessed for the Safety Education and Training Fund</w:t>
    </w:r>
  </w:p>
  <w:p>
    <w:pPr>
      <w:suppressLineNumbers/>
      <w:spacing w:before="0" w:after="0"/>
      <w:jc w:val="center"/>
      <w:rPr>
        <w:rFonts w:ascii="Arial" w:eastAsia="Arial" w:hAnsi="Arial" w:cs="Arial"/>
      </w:rPr>
    </w:pPr>
    <w:r>
      <w:rPr>
        <w:rFonts w:ascii="Arial" w:eastAsia="Arial" w:hAnsi="Arial" w:cs="Arial"/>
        <w:sz w:val="22"/>
      </w:rPr>
      <w:t>L.D. 1993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566D"/>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43646"/>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