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Rule-making Authority of the Supreme Judicial Court Concerning Electronic Records and Filing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357 - L.D. 1096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Clarify the Rule-making Authority of the Supreme Judicial Court Concerning Electronic Records and Filing</w:t>
      </w:r>
    </w:p>
    <w:p w:rsidR="008F515A" w:rsidP="008F515A">
      <w:pPr>
        <w:ind w:left="360"/>
        <w:rPr>
          <w:rFonts w:ascii="Arial" w:eastAsia="Arial" w:hAnsi="Arial" w:cs="Arial"/>
        </w:rPr>
      </w:pPr>
      <w:bookmarkStart w:id="0" w:name="_ENACTING_CLAUSE__5c7a24c3_dc07_449b_916"/>
      <w:bookmarkStart w:id="1" w:name="_PAR__1_8a85051f_03ea_4ea5_b8f3_d13bac3c"/>
      <w:bookmarkStart w:id="2" w:name="_DOC_BODY_CONTAINER__6e2bd48a_0544_4bdf_"/>
      <w:r>
        <w:rPr>
          <w:rFonts w:ascii="Arial" w:eastAsia="Arial" w:hAnsi="Arial" w:cs="Arial"/>
          <w:b/>
        </w:rPr>
        <w:t>Be it enacted by the People of the State of Maine as follows:</w:t>
      </w:r>
    </w:p>
    <w:p w:rsidR="008F515A" w:rsidP="008F515A">
      <w:pPr>
        <w:ind w:left="360" w:firstLine="360"/>
        <w:rPr>
          <w:rFonts w:ascii="Arial" w:eastAsia="Arial" w:hAnsi="Arial" w:cs="Arial"/>
        </w:rPr>
      </w:pPr>
      <w:bookmarkStart w:id="3" w:name="_BILL_SECTION_HEADER__5bf8583e_1bbe_48b5"/>
      <w:bookmarkStart w:id="4" w:name="_PAR__2_3030719c_124f_432e_b0de_9554afa9"/>
      <w:bookmarkStart w:id="5" w:name="_BILL_SECTION__b3619273_f053_4116_94cc_d"/>
      <w:bookmarkStart w:id="6" w:name="_DOC_BODY_CONTENT__e4bf9be1_b272_4e4f_80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89fabe9_be31_4673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4 MRSA §8-C, sub-§1,</w:t>
      </w:r>
      <w:r>
        <w:rPr>
          <w:rFonts w:ascii="Arial" w:eastAsia="Arial" w:hAnsi="Arial" w:cs="Arial"/>
        </w:rPr>
        <w:t xml:space="preserve"> as enacted by PL 2015, c. 78, §1, is amended to read:</w:t>
      </w:r>
    </w:p>
    <w:p w:rsidR="008F515A" w:rsidP="008F515A">
      <w:pPr>
        <w:ind w:left="360" w:firstLine="360"/>
        <w:rPr>
          <w:rFonts w:ascii="Arial" w:eastAsia="Arial" w:hAnsi="Arial" w:cs="Arial"/>
        </w:rPr>
      </w:pPr>
      <w:bookmarkStart w:id="8" w:name="_STATUTE_NUMBER__d6feeb70_e8b7_46da_bc66"/>
      <w:bookmarkStart w:id="9" w:name="_PAR__3_4c2e9a7b_8c43_42d2_82eb_95462ad7"/>
      <w:bookmarkStart w:id="10" w:name="_STATUTE_SS__5dbfce6a_3cf4_49d5_8b0b_1a5"/>
      <w:bookmarkEnd w:id="3"/>
      <w:bookmarkEnd w:id="4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1" w:name="_STATUTE_HEADNOTE__0676720a_719c_429a_98"/>
      <w:r>
        <w:rPr>
          <w:rFonts w:ascii="Arial" w:eastAsia="Arial" w:hAnsi="Arial" w:cs="Arial"/>
          <w:b/>
        </w:rPr>
        <w:t>Rules and orders; processes and procedures.</w:t>
      </w:r>
      <w:bookmarkEnd w:id="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" w:name="_STATUTE_CONTENT__3fe91e1f_6bc0_4cb9_8c2"/>
      <w:r>
        <w:rPr>
          <w:rFonts w:ascii="Arial" w:eastAsia="Arial" w:hAnsi="Arial" w:cs="Arial"/>
        </w:rPr>
        <w:t>Notwithstanding any other provision of law, the Supreme Judicial Court may adopt rules and issue orders to permit or require the use of electronic forms, filings, records, e-mail and electronic signatures whenever paper forms, filings, records, written notice, postal mail and written signatures are required for judicial, legal or any other court-related process under the Maine Revised Statutes.</w:t>
      </w:r>
      <w:bookmarkEnd w:id="12"/>
    </w:p>
    <w:p w:rsidR="00000000" w:rsidP="008F515A">
      <w:pPr>
        <w:ind w:left="360"/>
        <w:rPr>
          <w:rFonts w:ascii="Arial" w:eastAsia="Arial" w:hAnsi="Arial" w:cs="Arial"/>
        </w:rPr>
      </w:pPr>
      <w:bookmarkStart w:id="13" w:name="_STATUTE_P__dab422b0_f4a1_4211_baf7_e4aa"/>
      <w:bookmarkStart w:id="14" w:name="_PAR__4_dba19c6d_7077_4ac0_b1cb_29d27c0c"/>
      <w:bookmarkStart w:id="15" w:name="_STATUTE_CONTENT__b5239983_cb2b_419b_8d9"/>
      <w:bookmarkEnd w:id="9"/>
      <w:r>
        <w:rPr>
          <w:rFonts w:ascii="Arial" w:eastAsia="Arial" w:hAnsi="Arial" w:cs="Arial"/>
        </w:rPr>
        <w:t xml:space="preserve">The Supreme Judicial Court, by rule, may determine any other processes or procedures appropriate to ensure adequate preservation, disposition, integrity, security, appropriate accessibility and confidentiality of the electronic records.  </w:t>
      </w:r>
      <w:r>
        <w:rPr>
          <w:rFonts w:ascii="Arial" w:eastAsia="Arial" w:hAnsi="Arial" w:cs="Arial"/>
          <w:u w:val="single"/>
        </w:rPr>
        <w:t xml:space="preserve">After the effective date of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rules </w:t>
      </w:r>
      <w:r>
        <w:rPr>
          <w:rFonts w:ascii="Arial" w:eastAsia="Arial" w:hAnsi="Arial" w:cs="Arial"/>
          <w:u w:val="single"/>
        </w:rPr>
        <w:t xml:space="preserve">as </w:t>
      </w:r>
      <w:r>
        <w:rPr>
          <w:rFonts w:ascii="Arial" w:eastAsia="Arial" w:hAnsi="Arial" w:cs="Arial"/>
          <w:u w:val="single"/>
        </w:rPr>
        <w:t xml:space="preserve">adopted or amended, all laws in conflict </w:t>
      </w:r>
      <w:r>
        <w:rPr>
          <w:rFonts w:ascii="Arial" w:eastAsia="Arial" w:hAnsi="Arial" w:cs="Arial"/>
          <w:u w:val="single"/>
        </w:rPr>
        <w:t>with the rules</w:t>
      </w:r>
      <w:r>
        <w:rPr>
          <w:rFonts w:ascii="Arial" w:eastAsia="Arial" w:hAnsi="Arial" w:cs="Arial"/>
          <w:u w:val="single"/>
        </w:rPr>
        <w:t xml:space="preserve"> are of no further effect.</w:t>
      </w:r>
      <w:bookmarkEnd w:id="15"/>
      <w:bookmarkEnd w:id="2"/>
      <w:bookmarkEnd w:id="5"/>
      <w:bookmarkEnd w:id="6"/>
      <w:bookmarkEnd w:id="10"/>
      <w:bookmarkEnd w:id="13"/>
      <w:bookmarkEnd w:id="1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LR0393, item 4 - 130th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Rule-making Authority of the Supreme Judicial Court Concerning Electronic Records and Filing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F515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