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Laws Affecting Sex Offenders and Petitions for the Determination of Parental Rights and Responsibilities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1398 - L.D. 1888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Laws Affecting Sex Offenders and Petitions for the Determination of Parental Rights and Responsibilities</w:t>
      </w:r>
    </w:p>
    <w:p w:rsidR="002D1783" w:rsidP="002D1783">
      <w:pPr>
        <w:ind w:left="360"/>
        <w:rPr>
          <w:rFonts w:ascii="Arial" w:eastAsia="Arial" w:hAnsi="Arial" w:cs="Arial"/>
        </w:rPr>
      </w:pPr>
      <w:bookmarkStart w:id="0" w:name="_ENACTING_CLAUSE__88174daa_59a9_43ef_a47"/>
      <w:bookmarkStart w:id="1" w:name="_PAR__1_2013c6ff_fe6c_4ad8_a2e2_d679e1be"/>
      <w:bookmarkStart w:id="2" w:name="_DOC_BODY_CONTAINER__6bebc13f_0aa8_4501_"/>
      <w:r>
        <w:rPr>
          <w:rFonts w:ascii="Arial" w:eastAsia="Arial" w:hAnsi="Arial" w:cs="Arial"/>
          <w:b/>
        </w:rPr>
        <w:t>Be it enacted by the People of the State of Maine as follows:</w:t>
      </w:r>
    </w:p>
    <w:p w:rsidR="002D1783" w:rsidP="002D1783">
      <w:pPr>
        <w:ind w:left="360" w:firstLine="360"/>
        <w:rPr>
          <w:rFonts w:ascii="Arial" w:eastAsia="Arial" w:hAnsi="Arial" w:cs="Arial"/>
        </w:rPr>
      </w:pPr>
      <w:bookmarkStart w:id="3" w:name="_BILL_SECTION_HEADER__f0c15a2a_2867_4b4b"/>
      <w:bookmarkStart w:id="4" w:name="_BILL_SECTION__d22cc070_c8bf_46c3_9a3b_d"/>
      <w:bookmarkStart w:id="5" w:name="_INSTRUCTION__b64e29e9_a941_48fb_80ef_e9"/>
      <w:bookmarkStart w:id="6" w:name="_DOC_BODY_CONTENT__694097c6_23a5_4529_9d"/>
      <w:bookmarkEnd w:id="0"/>
      <w:bookmarkEnd w:id="1"/>
      <w:r>
        <w:rPr>
          <w:rFonts w:ascii="Arial" w:eastAsia="Arial" w:hAnsi="Arial" w:cs="Arial"/>
          <w:b/>
          <w:sz w:val="24"/>
        </w:rPr>
        <w:t xml:space="preserve">Sec. </w:t>
      </w:r>
      <w:bookmarkStart w:id="7" w:name="_BILL_SECTION_NUMBER__2b145968_038e_46ec"/>
      <w:r>
        <w:rPr>
          <w:rFonts w:ascii="Arial" w:eastAsia="Arial" w:hAnsi="Arial" w:cs="Arial"/>
          <w:b/>
          <w:sz w:val="24"/>
        </w:rPr>
        <w:t>1</w:t>
      </w:r>
      <w:bookmarkEnd w:id="7"/>
      <w:r>
        <w:rPr>
          <w:rFonts w:ascii="Arial" w:eastAsia="Arial" w:hAnsi="Arial" w:cs="Arial"/>
          <w:b/>
          <w:sz w:val="24"/>
        </w:rPr>
        <w:t>.  19-A MRSA §1653, sub-§6-C</w:t>
      </w:r>
      <w:r>
        <w:rPr>
          <w:rFonts w:ascii="Arial" w:eastAsia="Arial" w:hAnsi="Arial" w:cs="Arial"/>
        </w:rPr>
        <w:t xml:space="preserve"> is enacted to read:</w:t>
      </w:r>
    </w:p>
    <w:p w:rsidR="002D1783" w:rsidP="002D1783">
      <w:pPr>
        <w:ind w:left="360" w:firstLine="360"/>
        <w:rPr>
          <w:rFonts w:ascii="Arial" w:eastAsia="Arial" w:hAnsi="Arial" w:cs="Arial"/>
        </w:rPr>
      </w:pPr>
      <w:bookmarkStart w:id="8" w:name="_STATUTE_NUMBER__f4deaec7_a6e2_4754_8b8b"/>
      <w:bookmarkStart w:id="9" w:name="_REV__771a5af1_3ace_4f76_b604_692adafc7c"/>
      <w:bookmarkStart w:id="10" w:name="_PROCESSED_CHANGE__b253a939_8744_4e81_aa"/>
      <w:bookmarkStart w:id="11" w:name="_STATUTE_SS__f57f9b90_4f28_4307_a312_8a1"/>
      <w:bookmarkEnd w:id="3"/>
      <w:r>
        <w:rPr>
          <w:rFonts w:ascii="Arial" w:eastAsia="Arial" w:hAnsi="Arial" w:cs="Arial"/>
          <w:b/>
          <w:u w:val="single"/>
        </w:rPr>
        <w:t>6-C</w:t>
      </w:r>
      <w:bookmarkEnd w:id="8"/>
      <w:r>
        <w:rPr>
          <w:rFonts w:ascii="Arial" w:eastAsia="Arial" w:hAnsi="Arial" w:cs="Arial"/>
          <w:b/>
          <w:u w:val="single"/>
        </w:rPr>
        <w:t xml:space="preserve">.  </w:t>
      </w:r>
      <w:bookmarkStart w:id="12" w:name="_STATUTE_HEADNOTE__5ab695ac_89ee_4c12_ae"/>
      <w:r>
        <w:rPr>
          <w:rFonts w:ascii="Arial" w:eastAsia="Arial" w:hAnsi="Arial" w:cs="Arial"/>
          <w:b/>
          <w:u w:val="single"/>
        </w:rPr>
        <w:t xml:space="preserve">Forensic risk assessment. </w:t>
      </w:r>
      <w:r>
        <w:rPr>
          <w:rFonts w:ascii="Arial" w:eastAsia="Arial" w:hAnsi="Arial" w:cs="Arial"/>
          <w:u w:val="single"/>
        </w:rPr>
        <w:t xml:space="preserve"> </w:t>
      </w:r>
      <w:bookmarkStart w:id="13" w:name="_STATUTE_CONTENT__26c77c89_b08f_4a3f_800"/>
      <w:bookmarkEnd w:id="12"/>
      <w:r>
        <w:rPr>
          <w:rFonts w:ascii="Arial" w:eastAsia="Arial" w:hAnsi="Arial" w:cs="Arial"/>
          <w:u w:val="single"/>
        </w:rPr>
        <w:t>Upon motion from either party or upon the court’s own motion, the court may order a parent to complete a forensic risk assessment performed by a licensed clinical social worker, psychologist or psychiatrist qualified to conduct psychosexual evaluations.</w:t>
      </w:r>
    </w:p>
    <w:p w:rsidR="002D1783" w:rsidP="002D1783">
      <w:pPr>
        <w:ind w:left="720"/>
        <w:rPr>
          <w:rFonts w:ascii="Arial" w:eastAsia="Arial" w:hAnsi="Arial" w:cs="Arial"/>
        </w:rPr>
      </w:pPr>
      <w:bookmarkStart w:id="14" w:name="_STATUTE_NUMBER__7fe3b0fa_f440_4dcb_a33e"/>
      <w:bookmarkStart w:id="15" w:name="_REV__6959cf73_a84c_4736_81bb_15e2178c6b"/>
      <w:bookmarkStart w:id="16" w:name="_STATUTE_P__db12a50c_9a33_45ba_98d6_3520"/>
      <w:bookmarkEnd w:id="9"/>
      <w:bookmarkEnd w:id="13"/>
      <w:r>
        <w:rPr>
          <w:rFonts w:ascii="Arial" w:eastAsia="Arial" w:hAnsi="Arial" w:cs="Arial"/>
          <w:u w:val="single"/>
        </w:rPr>
        <w:t>A</w:t>
      </w:r>
      <w:bookmarkEnd w:id="14"/>
      <w:r>
        <w:rPr>
          <w:rFonts w:ascii="Arial" w:eastAsia="Arial" w:hAnsi="Arial" w:cs="Arial"/>
          <w:u w:val="single"/>
        </w:rPr>
        <w:t xml:space="preserve">.  </w:t>
      </w:r>
      <w:bookmarkStart w:id="17" w:name="_STATUTE_CONTENT__3118a991_fd97_40fa_895"/>
      <w:r>
        <w:rPr>
          <w:rFonts w:ascii="Arial" w:eastAsia="Arial" w:hAnsi="Arial" w:cs="Arial"/>
          <w:u w:val="single"/>
        </w:rPr>
        <w:t xml:space="preserve">In determining whether to order a </w:t>
      </w:r>
      <w:r>
        <w:rPr>
          <w:rFonts w:ascii="Arial" w:eastAsia="Arial" w:hAnsi="Arial" w:cs="Arial"/>
          <w:u w:val="single"/>
        </w:rPr>
        <w:t xml:space="preserve">forensic risk </w:t>
      </w:r>
      <w:r>
        <w:rPr>
          <w:rFonts w:ascii="Arial" w:eastAsia="Arial" w:hAnsi="Arial" w:cs="Arial"/>
          <w:u w:val="single"/>
        </w:rPr>
        <w:t>assessment</w:t>
      </w:r>
      <w:r>
        <w:rPr>
          <w:rFonts w:ascii="Arial" w:eastAsia="Arial" w:hAnsi="Arial" w:cs="Arial"/>
          <w:u w:val="single"/>
        </w:rPr>
        <w:t>,</w:t>
      </w:r>
      <w:r>
        <w:rPr>
          <w:rFonts w:ascii="Arial" w:eastAsia="Arial" w:hAnsi="Arial" w:cs="Arial"/>
          <w:u w:val="single"/>
        </w:rPr>
        <w:t xml:space="preserve"> the court may consider:</w:t>
      </w:r>
    </w:p>
    <w:p w:rsidR="002D1783" w:rsidP="002D1783">
      <w:pPr>
        <w:ind w:left="1080"/>
        <w:rPr>
          <w:rFonts w:ascii="Arial" w:eastAsia="Arial" w:hAnsi="Arial" w:cs="Arial"/>
        </w:rPr>
      </w:pPr>
      <w:bookmarkStart w:id="18" w:name="_STATUTE_SP__b85a9df2_59b7_445b_90ee_77d"/>
      <w:bookmarkStart w:id="19" w:name="_REV__63265edc_ad8e_4998_a63a_be77b22aa1"/>
      <w:bookmarkEnd w:id="15"/>
      <w:bookmarkEnd w:id="17"/>
      <w:r>
        <w:rPr>
          <w:rFonts w:ascii="Arial" w:eastAsia="Arial" w:hAnsi="Arial" w:cs="Arial"/>
          <w:u w:val="single"/>
        </w:rPr>
        <w:t>(</w:t>
      </w:r>
      <w:bookmarkStart w:id="20" w:name="_STATUTE_NUMBER__477d9a4c_806b_4a4a_b379"/>
      <w:r>
        <w:rPr>
          <w:rFonts w:ascii="Arial" w:eastAsia="Arial" w:hAnsi="Arial" w:cs="Arial"/>
          <w:u w:val="single"/>
        </w:rPr>
        <w:t>1</w:t>
      </w:r>
      <w:bookmarkEnd w:id="20"/>
      <w:r>
        <w:rPr>
          <w:rFonts w:ascii="Arial" w:eastAsia="Arial" w:hAnsi="Arial" w:cs="Arial"/>
          <w:u w:val="single"/>
        </w:rPr>
        <w:t xml:space="preserve">)  </w:t>
      </w:r>
      <w:bookmarkStart w:id="21" w:name="_STATUTE_CONTENT__f9bd16b7_7055_4711_aec"/>
      <w:r>
        <w:rPr>
          <w:rFonts w:ascii="Arial" w:eastAsia="Arial" w:hAnsi="Arial" w:cs="Arial"/>
          <w:u w:val="single"/>
        </w:rPr>
        <w:t xml:space="preserve">The existence of any court findings, including but not limited to a criminal conviction, that the parent has committed a child-related sexual offense as defined in subsection 6-A, paragraph A or dissemination of sexually explicit material or possession of sexually explicit material as </w:t>
      </w:r>
      <w:r>
        <w:rPr>
          <w:rFonts w:ascii="Arial" w:eastAsia="Arial" w:hAnsi="Arial" w:cs="Arial"/>
          <w:u w:val="single"/>
        </w:rPr>
        <w:t>described</w:t>
      </w:r>
      <w:r>
        <w:rPr>
          <w:rFonts w:ascii="Arial" w:eastAsia="Arial" w:hAnsi="Arial" w:cs="Arial"/>
          <w:u w:val="single"/>
        </w:rPr>
        <w:t xml:space="preserve"> in Title 17-A, chapter 12;</w:t>
      </w:r>
    </w:p>
    <w:p w:rsidR="002D1783" w:rsidP="002D1783">
      <w:pPr>
        <w:ind w:left="1080"/>
        <w:rPr>
          <w:rFonts w:ascii="Arial" w:eastAsia="Arial" w:hAnsi="Arial" w:cs="Arial"/>
        </w:rPr>
      </w:pPr>
      <w:bookmarkStart w:id="22" w:name="_STATUTE_SP__4d9275a3_eb4b_426c_81f7_0a4"/>
      <w:bookmarkStart w:id="23" w:name="_REV__871ae1c2_fff3_4a91_b66a_dd1e2841a9"/>
      <w:bookmarkEnd w:id="18"/>
      <w:bookmarkEnd w:id="19"/>
      <w:bookmarkEnd w:id="21"/>
      <w:r>
        <w:rPr>
          <w:rFonts w:ascii="Arial" w:eastAsia="Arial" w:hAnsi="Arial" w:cs="Arial"/>
          <w:u w:val="single"/>
        </w:rPr>
        <w:t>(</w:t>
      </w:r>
      <w:bookmarkStart w:id="24" w:name="_STATUTE_NUMBER__cd8609d0_37de_4836_8a06"/>
      <w:r>
        <w:rPr>
          <w:rFonts w:ascii="Arial" w:eastAsia="Arial" w:hAnsi="Arial" w:cs="Arial"/>
          <w:u w:val="single"/>
        </w:rPr>
        <w:t>2</w:t>
      </w:r>
      <w:bookmarkEnd w:id="24"/>
      <w:r>
        <w:rPr>
          <w:rFonts w:ascii="Arial" w:eastAsia="Arial" w:hAnsi="Arial" w:cs="Arial"/>
          <w:u w:val="single"/>
        </w:rPr>
        <w:t xml:space="preserve">)  </w:t>
      </w:r>
      <w:bookmarkStart w:id="25" w:name="_STATUTE_CONTENT__0888c233_c706_4d07_a2e"/>
      <w:r>
        <w:rPr>
          <w:rFonts w:ascii="Arial" w:eastAsia="Arial" w:hAnsi="Arial" w:cs="Arial"/>
          <w:u w:val="single"/>
        </w:rPr>
        <w:t xml:space="preserve">The existence of substantiated findings of abuse or neglect under Title 22, section 4004, subsection 2, paragraph C-1, or an equivalent finding from another state, against the parent involving a child-related sexual offense as defined in subsection 6-A, paragraph A or dissemination of sexually explicit material or possession of sexually explicit material as </w:t>
      </w:r>
      <w:r>
        <w:rPr>
          <w:rFonts w:ascii="Arial" w:eastAsia="Arial" w:hAnsi="Arial" w:cs="Arial"/>
          <w:u w:val="single"/>
        </w:rPr>
        <w:t>described</w:t>
      </w:r>
      <w:r>
        <w:rPr>
          <w:rFonts w:ascii="Arial" w:eastAsia="Arial" w:hAnsi="Arial" w:cs="Arial"/>
          <w:u w:val="single"/>
        </w:rPr>
        <w:t xml:space="preserve"> in Title 17-A, chapter 12;</w:t>
      </w:r>
    </w:p>
    <w:p w:rsidR="002D1783" w:rsidP="002D1783">
      <w:pPr>
        <w:ind w:left="1080"/>
        <w:rPr>
          <w:rFonts w:ascii="Arial" w:eastAsia="Arial" w:hAnsi="Arial" w:cs="Arial"/>
        </w:rPr>
      </w:pPr>
      <w:bookmarkStart w:id="26" w:name="_STATUTE_SP__138b8715_68bd_484f_97c9_0e6"/>
      <w:bookmarkStart w:id="27" w:name="_REV__3ad7207a_4a8a_4fab_8217_94fb777f94"/>
      <w:bookmarkEnd w:id="22"/>
      <w:bookmarkEnd w:id="23"/>
      <w:bookmarkEnd w:id="25"/>
      <w:r>
        <w:rPr>
          <w:rFonts w:ascii="Arial" w:eastAsia="Arial" w:hAnsi="Arial" w:cs="Arial"/>
          <w:u w:val="single"/>
        </w:rPr>
        <w:t>(</w:t>
      </w:r>
      <w:bookmarkStart w:id="28" w:name="_STATUTE_NUMBER__7e4e7f28_6b61_481a_92f9"/>
      <w:r>
        <w:rPr>
          <w:rFonts w:ascii="Arial" w:eastAsia="Arial" w:hAnsi="Arial" w:cs="Arial"/>
          <w:u w:val="single"/>
        </w:rPr>
        <w:t>3</w:t>
      </w:r>
      <w:bookmarkEnd w:id="28"/>
      <w:r>
        <w:rPr>
          <w:rFonts w:ascii="Arial" w:eastAsia="Arial" w:hAnsi="Arial" w:cs="Arial"/>
          <w:u w:val="single"/>
        </w:rPr>
        <w:t xml:space="preserve">)  </w:t>
      </w:r>
      <w:bookmarkStart w:id="29" w:name="_STATUTE_CONTENT__488d3d85_652b_497b_8dd"/>
      <w:r>
        <w:rPr>
          <w:rFonts w:ascii="Arial" w:eastAsia="Arial" w:hAnsi="Arial" w:cs="Arial"/>
          <w:u w:val="single"/>
        </w:rPr>
        <w:t>Whether a guardian ad litem appointed to the case recommend</w:t>
      </w:r>
      <w:r>
        <w:rPr>
          <w:rFonts w:ascii="Arial" w:eastAsia="Arial" w:hAnsi="Arial" w:cs="Arial"/>
          <w:u w:val="single"/>
        </w:rPr>
        <w:t>s</w:t>
      </w:r>
      <w:r>
        <w:rPr>
          <w:rFonts w:ascii="Arial" w:eastAsia="Arial" w:hAnsi="Arial" w:cs="Arial"/>
          <w:u w:val="single"/>
        </w:rPr>
        <w:t xml:space="preserve"> the assessment; and</w:t>
      </w:r>
    </w:p>
    <w:p w:rsidR="002D1783" w:rsidP="002D1783">
      <w:pPr>
        <w:ind w:left="1080"/>
        <w:rPr>
          <w:rFonts w:ascii="Arial" w:eastAsia="Arial" w:hAnsi="Arial" w:cs="Arial"/>
        </w:rPr>
      </w:pPr>
      <w:bookmarkStart w:id="30" w:name="_STATUTE_SP__d3b05436_0aff_47b2_bf76_cfc"/>
      <w:bookmarkStart w:id="31" w:name="_REV__bf0462ba_5dc9_436c_bb48_c9261d9a05"/>
      <w:bookmarkEnd w:id="26"/>
      <w:bookmarkEnd w:id="27"/>
      <w:bookmarkEnd w:id="29"/>
      <w:r>
        <w:rPr>
          <w:rFonts w:ascii="Arial" w:eastAsia="Arial" w:hAnsi="Arial" w:cs="Arial"/>
          <w:u w:val="single"/>
        </w:rPr>
        <w:t>(</w:t>
      </w:r>
      <w:bookmarkStart w:id="32" w:name="_STATUTE_NUMBER__00bb76b4_325d_43c2_90aa"/>
      <w:r>
        <w:rPr>
          <w:rFonts w:ascii="Arial" w:eastAsia="Arial" w:hAnsi="Arial" w:cs="Arial"/>
          <w:u w:val="single"/>
        </w:rPr>
        <w:t>4</w:t>
      </w:r>
      <w:bookmarkEnd w:id="32"/>
      <w:r>
        <w:rPr>
          <w:rFonts w:ascii="Arial" w:eastAsia="Arial" w:hAnsi="Arial" w:cs="Arial"/>
          <w:u w:val="single"/>
        </w:rPr>
        <w:t xml:space="preserve">)  </w:t>
      </w:r>
      <w:bookmarkStart w:id="33" w:name="_STATUTE_CONTENT__39b3238e_a774_46f2_a1c"/>
      <w:r>
        <w:rPr>
          <w:rFonts w:ascii="Arial" w:eastAsia="Arial" w:hAnsi="Arial" w:cs="Arial"/>
          <w:u w:val="single"/>
        </w:rPr>
        <w:t>Any other factor the court considers relevant.</w:t>
      </w:r>
    </w:p>
    <w:p w:rsidR="002D1783" w:rsidP="002D1783">
      <w:pPr>
        <w:ind w:left="720"/>
        <w:rPr>
          <w:rFonts w:ascii="Arial" w:eastAsia="Arial" w:hAnsi="Arial" w:cs="Arial"/>
        </w:rPr>
      </w:pPr>
      <w:bookmarkStart w:id="34" w:name="_STATUTE_NUMBER__627b3914_c6b8_477e_a4e1"/>
      <w:bookmarkStart w:id="35" w:name="_STATUTE_P__cbe2a940_68d6_48e6_96b6_fb17"/>
      <w:bookmarkStart w:id="36" w:name="_REV__e79cb713_65f1_450e_9e78_7aba39cd02"/>
      <w:bookmarkEnd w:id="16"/>
      <w:bookmarkEnd w:id="30"/>
      <w:bookmarkEnd w:id="31"/>
      <w:bookmarkEnd w:id="33"/>
      <w:r>
        <w:rPr>
          <w:rFonts w:ascii="Arial" w:eastAsia="Arial" w:hAnsi="Arial" w:cs="Arial"/>
          <w:u w:val="single"/>
        </w:rPr>
        <w:t>B</w:t>
      </w:r>
      <w:bookmarkEnd w:id="34"/>
      <w:r>
        <w:rPr>
          <w:rFonts w:ascii="Arial" w:eastAsia="Arial" w:hAnsi="Arial" w:cs="Arial"/>
          <w:u w:val="single"/>
        </w:rPr>
        <w:t xml:space="preserve">.  </w:t>
      </w:r>
      <w:bookmarkStart w:id="37" w:name="_STATUTE_CONTENT__3a73aa86_5bc6_4860_b75"/>
      <w:r>
        <w:rPr>
          <w:rFonts w:ascii="Arial" w:eastAsia="Arial" w:hAnsi="Arial" w:cs="Arial"/>
          <w:u w:val="single"/>
        </w:rPr>
        <w:t xml:space="preserve">The court may order that the person performing the forensic risk assessment </w:t>
      </w:r>
      <w:r>
        <w:rPr>
          <w:rFonts w:ascii="Arial" w:eastAsia="Arial" w:hAnsi="Arial" w:cs="Arial"/>
          <w:u w:val="single"/>
        </w:rPr>
        <w:t>may</w:t>
      </w:r>
      <w:r>
        <w:rPr>
          <w:rFonts w:ascii="Arial" w:eastAsia="Arial" w:hAnsi="Arial" w:cs="Arial"/>
          <w:u w:val="single"/>
        </w:rPr>
        <w:t xml:space="preserve"> interview </w:t>
      </w:r>
      <w:r>
        <w:rPr>
          <w:rFonts w:ascii="Arial" w:eastAsia="Arial" w:hAnsi="Arial" w:cs="Arial"/>
          <w:u w:val="single"/>
        </w:rPr>
        <w:t>the</w:t>
      </w:r>
      <w:r>
        <w:rPr>
          <w:rFonts w:ascii="Arial" w:eastAsia="Arial" w:hAnsi="Arial" w:cs="Arial"/>
          <w:u w:val="single"/>
        </w:rPr>
        <w:t xml:space="preserve"> parent </w:t>
      </w:r>
      <w:r>
        <w:rPr>
          <w:rFonts w:ascii="Arial" w:eastAsia="Arial" w:hAnsi="Arial" w:cs="Arial"/>
          <w:u w:val="single"/>
        </w:rPr>
        <w:t xml:space="preserve">who is the subject </w:t>
      </w:r>
      <w:r>
        <w:rPr>
          <w:rFonts w:ascii="Arial" w:eastAsia="Arial" w:hAnsi="Arial" w:cs="Arial"/>
          <w:u w:val="single"/>
        </w:rPr>
        <w:t xml:space="preserve">of the order and any </w:t>
      </w:r>
      <w:r>
        <w:rPr>
          <w:rFonts w:ascii="Arial" w:eastAsia="Arial" w:hAnsi="Arial" w:cs="Arial"/>
          <w:u w:val="single"/>
        </w:rPr>
        <w:t>other parent of the child</w:t>
      </w:r>
      <w:r>
        <w:rPr>
          <w:rFonts w:ascii="Arial" w:eastAsia="Arial" w:hAnsi="Arial" w:cs="Arial"/>
          <w:u w:val="single"/>
        </w:rPr>
        <w:t xml:space="preserve"> </w:t>
      </w:r>
      <w:r>
        <w:rPr>
          <w:rFonts w:ascii="Arial" w:eastAsia="Arial" w:hAnsi="Arial" w:cs="Arial"/>
          <w:u w:val="single"/>
        </w:rPr>
        <w:t xml:space="preserve">and </w:t>
      </w:r>
      <w:r>
        <w:rPr>
          <w:rFonts w:ascii="Arial" w:eastAsia="Arial" w:hAnsi="Arial" w:cs="Arial"/>
          <w:u w:val="single"/>
        </w:rPr>
        <w:t xml:space="preserve">have </w:t>
      </w:r>
      <w:r>
        <w:rPr>
          <w:rFonts w:ascii="Arial" w:eastAsia="Arial" w:hAnsi="Arial" w:cs="Arial"/>
          <w:u w:val="single"/>
        </w:rPr>
        <w:t>access to court documents, records of any interview with the child and other relevant documents.</w:t>
      </w:r>
    </w:p>
    <w:p w:rsidR="002D1783" w:rsidP="002D1783">
      <w:pPr>
        <w:ind w:left="720"/>
        <w:rPr>
          <w:rFonts w:ascii="Arial" w:eastAsia="Arial" w:hAnsi="Arial" w:cs="Arial"/>
        </w:rPr>
      </w:pPr>
      <w:bookmarkStart w:id="38" w:name="_STATUTE_NUMBER__cb6fe4c1_dce7_49d9_8071"/>
      <w:bookmarkStart w:id="39" w:name="_STATUTE_P__5d45e7f8_c03a_4711_b187_c579"/>
      <w:bookmarkStart w:id="40" w:name="_REV__012d66a6_4282_4e64_a682_d6271410a2"/>
      <w:bookmarkEnd w:id="35"/>
      <w:bookmarkEnd w:id="36"/>
      <w:bookmarkEnd w:id="37"/>
      <w:r>
        <w:rPr>
          <w:rFonts w:ascii="Arial" w:eastAsia="Arial" w:hAnsi="Arial" w:cs="Arial"/>
          <w:u w:val="single"/>
        </w:rPr>
        <w:t>C</w:t>
      </w:r>
      <w:bookmarkEnd w:id="38"/>
      <w:r>
        <w:rPr>
          <w:rFonts w:ascii="Arial" w:eastAsia="Arial" w:hAnsi="Arial" w:cs="Arial"/>
          <w:u w:val="single"/>
        </w:rPr>
        <w:t xml:space="preserve">.  </w:t>
      </w:r>
      <w:bookmarkStart w:id="41" w:name="_STATUTE_CONTENT__5f9a45f2_8676_4fa8_b7d"/>
      <w:r>
        <w:rPr>
          <w:rFonts w:ascii="Arial" w:eastAsia="Arial" w:hAnsi="Arial" w:cs="Arial"/>
          <w:u w:val="single"/>
        </w:rPr>
        <w:t xml:space="preserve">The court shall order that the parent ordered to complete the forensic risk assessment </w:t>
      </w:r>
      <w:r>
        <w:rPr>
          <w:rFonts w:ascii="Arial" w:eastAsia="Arial" w:hAnsi="Arial" w:cs="Arial"/>
          <w:u w:val="single"/>
        </w:rPr>
        <w:t>is</w:t>
      </w:r>
      <w:r>
        <w:rPr>
          <w:rFonts w:ascii="Arial" w:eastAsia="Arial" w:hAnsi="Arial" w:cs="Arial"/>
          <w:u w:val="single"/>
        </w:rPr>
        <w:t xml:space="preserve"> responsible for any fees associated with the assessment unless another parent agrees to pay part or all of the fees.</w:t>
      </w:r>
    </w:p>
    <w:p w:rsidR="00000000" w:rsidP="002D1783">
      <w:pPr>
        <w:ind w:left="720"/>
        <w:rPr>
          <w:rFonts w:ascii="Arial" w:eastAsia="Arial" w:hAnsi="Arial" w:cs="Arial"/>
        </w:rPr>
      </w:pPr>
      <w:bookmarkStart w:id="42" w:name="_STATUTE_NUMBER__5f64c7eb_e262_48e9_9b2e"/>
      <w:bookmarkStart w:id="43" w:name="_REV__c1d0c3bc_12bb_4a81_8c4b_401ae189fd"/>
      <w:bookmarkStart w:id="44" w:name="_STATUTE_P__1744980f_bf67_4718_a1ca_75c7"/>
      <w:bookmarkEnd w:id="39"/>
      <w:bookmarkEnd w:id="40"/>
      <w:bookmarkEnd w:id="41"/>
      <w:r>
        <w:rPr>
          <w:rFonts w:ascii="Arial" w:eastAsia="Arial" w:hAnsi="Arial" w:cs="Arial"/>
          <w:u w:val="single"/>
        </w:rPr>
        <w:t>D</w:t>
      </w:r>
      <w:bookmarkEnd w:id="42"/>
      <w:r>
        <w:rPr>
          <w:rFonts w:ascii="Arial" w:eastAsia="Arial" w:hAnsi="Arial" w:cs="Arial"/>
          <w:u w:val="single"/>
        </w:rPr>
        <w:t xml:space="preserve">.  </w:t>
      </w:r>
      <w:bookmarkStart w:id="45" w:name="_STATUTE_CONTENT__eb73c8db_3808_43f3_a10"/>
      <w:r>
        <w:rPr>
          <w:rFonts w:ascii="Arial" w:eastAsia="Arial" w:hAnsi="Arial" w:cs="Arial"/>
          <w:u w:val="single"/>
        </w:rPr>
        <w:t>If the parent</w:t>
      </w:r>
      <w:r>
        <w:rPr>
          <w:rFonts w:ascii="Arial" w:eastAsia="Arial" w:hAnsi="Arial" w:cs="Arial"/>
          <w:u w:val="single"/>
        </w:rPr>
        <w:t xml:space="preserve"> ordered to complete the forensic risk assessment</w:t>
      </w:r>
      <w:r>
        <w:rPr>
          <w:rFonts w:ascii="Arial" w:eastAsia="Arial" w:hAnsi="Arial" w:cs="Arial"/>
          <w:u w:val="single"/>
        </w:rPr>
        <w:t xml:space="preserve"> has completed a</w:t>
      </w:r>
      <w:r>
        <w:rPr>
          <w:rFonts w:ascii="Arial" w:eastAsia="Arial" w:hAnsi="Arial" w:cs="Arial"/>
          <w:u w:val="single"/>
        </w:rPr>
        <w:t>n</w:t>
      </w:r>
      <w:r>
        <w:rPr>
          <w:rFonts w:ascii="Arial" w:eastAsia="Arial" w:hAnsi="Arial" w:cs="Arial"/>
          <w:u w:val="single"/>
        </w:rPr>
        <w:t xml:space="preserve"> assessment in the past year, the court may order the parent to release that assessment to the court, the guardian ad litem or another party and may order the parent to </w:t>
      </w:r>
      <w:r>
        <w:rPr>
          <w:rFonts w:ascii="Arial" w:eastAsia="Arial" w:hAnsi="Arial" w:cs="Arial"/>
          <w:u w:val="single"/>
        </w:rPr>
        <w:t>complete</w:t>
      </w:r>
      <w:r>
        <w:rPr>
          <w:rFonts w:ascii="Arial" w:eastAsia="Arial" w:hAnsi="Arial" w:cs="Arial"/>
          <w:u w:val="single"/>
        </w:rPr>
        <w:t xml:space="preserve"> a new assessment only if the court determines a new assessment is necessary.</w:t>
      </w:r>
      <w:bookmarkEnd w:id="2"/>
      <w:bookmarkEnd w:id="4"/>
      <w:bookmarkEnd w:id="5"/>
      <w:bookmarkEnd w:id="6"/>
      <w:bookmarkEnd w:id="10"/>
      <w:bookmarkEnd w:id="11"/>
      <w:bookmarkEnd w:id="43"/>
      <w:bookmarkEnd w:id="44"/>
      <w:bookmarkEnd w:id="4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LR2505,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Laws Affecting Sex Offenders and Petitions for the Determination of Parental Rights and Responsibilities</w:t>
    </w:r>
  </w:p>
  <w:p>
    <w:pPr>
      <w:suppressLineNumbers/>
      <w:spacing w:before="0" w:after="0"/>
      <w:jc w:val="center"/>
      <w:rPr>
        <w:rFonts w:ascii="Arial" w:eastAsia="Arial" w:hAnsi="Arial" w:cs="Arial"/>
      </w:rPr>
    </w:pPr>
    <w:r>
      <w:rPr>
        <w:rFonts w:ascii="Arial" w:eastAsia="Arial" w:hAnsi="Arial" w:cs="Arial"/>
        <w:sz w:val="22"/>
      </w:rPr>
      <w:t>L.D. 1888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1783"/>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