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Improve Maine's Reproductive Privacy Laws</w:t>
      </w:r>
    </w:p>
    <w:p w:rsidR="00B35476" w:rsidP="00B35476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cb4949ed_c687_4d05_97ed_84"/>
      <w:bookmarkStart w:id="1" w:name="_PAGE__1_d46679e7_68eb_4f96_a29a_b141045"/>
      <w:bookmarkStart w:id="2" w:name="_PAR__2_a544a335_c2c1_4ba1_aeed_132f3540"/>
      <w:r>
        <w:rPr>
          <w:rFonts w:ascii="Arial" w:eastAsia="Arial" w:hAnsi="Arial" w:cs="Arial"/>
          <w:caps/>
        </w:rPr>
        <w:t>L.D. 1619</w:t>
      </w:r>
    </w:p>
    <w:p w:rsidR="00B35476" w:rsidP="00B35476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001763c1_cbc2_46af_b263_829dc86f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B35476" w:rsidP="00B35476">
      <w:pPr>
        <w:spacing w:before="60" w:after="60"/>
        <w:ind w:left="720"/>
        <w:rPr>
          <w:rFonts w:ascii="Arial" w:eastAsia="Arial" w:hAnsi="Arial" w:cs="Arial"/>
        </w:rPr>
      </w:pPr>
      <w:bookmarkStart w:id="4" w:name="_PAR__4_d45dd5b7_6ca8_4a64_bf84_caaee69a"/>
      <w:bookmarkEnd w:id="3"/>
      <w:r>
        <w:rPr>
          <w:rFonts w:ascii="Arial" w:eastAsia="Arial" w:hAnsi="Arial" w:cs="Arial"/>
        </w:rPr>
        <w:t>Reproduced and distributed under the direction of the Clerk of the House.</w:t>
      </w:r>
    </w:p>
    <w:p w:rsidR="00B35476" w:rsidP="00B35476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fbc93423_2f21_4c70_9bfc_4f167087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B35476" w:rsidP="00B35476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802cfd7d_7856_4fef_a6f2_6cd3ef9e"/>
      <w:bookmarkEnd w:id="5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B35476" w:rsidP="00B35476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1bad7a29_74e3_48f7_9f25_2ec04c3e"/>
      <w:bookmarkEnd w:id="6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B35476" w:rsidP="00B35476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408b86b8_fe2d_4423_909f_91d93f3a"/>
      <w:bookmarkEnd w:id="7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B35476" w:rsidP="00B35476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1e4832b0_49a9_4de5_8d84_e65ba386"/>
      <w:bookmarkEnd w:id="8"/>
      <w:r>
        <w:rPr>
          <w:rFonts w:ascii="Arial" w:eastAsia="Arial" w:hAnsi="Arial" w:cs="Arial"/>
          <w:szCs w:val="22"/>
        </w:rPr>
        <w:t>HOUSE AMENDMENT “      ” to COMMITTEE AMENDMENT “A” to H.P. 1044, L.D. 1619, “An Act to Improve Maine's Reproductive Privacy Laws”</w:t>
      </w:r>
    </w:p>
    <w:p w:rsidR="00B35476" w:rsidP="00B35476">
      <w:pPr>
        <w:ind w:left="360" w:firstLine="360"/>
        <w:rPr>
          <w:rFonts w:ascii="Arial" w:eastAsia="Arial" w:hAnsi="Arial" w:cs="Arial"/>
        </w:rPr>
      </w:pPr>
      <w:bookmarkStart w:id="10" w:name="_INSTRUCTION__d5cea107_caa2_4d8b_a37c_16"/>
      <w:bookmarkStart w:id="11" w:name="_PAR__10_30c48fea_6e12_4da9_b2e6_c0fa577"/>
      <w:bookmarkEnd w:id="0"/>
      <w:bookmarkEnd w:id="9"/>
      <w:r>
        <w:rPr>
          <w:rFonts w:ascii="Arial" w:eastAsia="Arial" w:hAnsi="Arial" w:cs="Arial"/>
        </w:rPr>
        <w:t>Amend the amendment by striking out all of the first instructional paragraph (page 1, lines 11 to 16 in amendment) and inserting the following:</w:t>
      </w:r>
    </w:p>
    <w:p w:rsidR="00B35476" w:rsidP="00B35476">
      <w:pPr>
        <w:ind w:left="360" w:firstLine="360"/>
        <w:rPr>
          <w:rFonts w:ascii="Arial" w:eastAsia="Arial" w:hAnsi="Arial" w:cs="Arial"/>
        </w:rPr>
      </w:pPr>
      <w:bookmarkStart w:id="12" w:name="_PAR__11_e86d7799_9d67_4678_b051_c37b83b"/>
      <w:bookmarkEnd w:id="11"/>
      <w:r>
        <w:rPr>
          <w:rFonts w:ascii="Arial" w:eastAsia="Arial" w:hAnsi="Arial" w:cs="Arial"/>
        </w:rPr>
        <w:t>'Amend the bill by striking out all of section 2 and inserting the following:</w:t>
      </w:r>
    </w:p>
    <w:p w:rsidR="00B35476" w:rsidP="00B35476">
      <w:pPr>
        <w:ind w:left="360" w:firstLine="360"/>
        <w:rPr>
          <w:rFonts w:ascii="Arial" w:eastAsia="Arial" w:hAnsi="Arial" w:cs="Arial"/>
        </w:rPr>
      </w:pPr>
      <w:bookmarkStart w:id="13" w:name="_PAR__12_802e9320_bcc0_4c93_a4a7_b5215a5"/>
      <w:bookmarkEnd w:id="12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2.  22 MRSA §1598, sub-§1,</w:t>
      </w:r>
      <w:r>
        <w:rPr>
          <w:rFonts w:ascii="Arial" w:eastAsia="Arial" w:hAnsi="Arial" w:cs="Arial"/>
        </w:rPr>
        <w:t xml:space="preserve"> as amended by PL 2019, c. 262, §4, is further amended to read:</w:t>
      </w:r>
    </w:p>
    <w:p w:rsidR="00B35476" w:rsidP="00B35476">
      <w:pPr>
        <w:ind w:left="360" w:firstLine="360"/>
        <w:rPr>
          <w:rFonts w:ascii="Arial" w:eastAsia="Arial" w:hAnsi="Arial" w:cs="Arial"/>
        </w:rPr>
      </w:pPr>
      <w:bookmarkStart w:id="14" w:name="_PAR__13_d8f7ac33_9f09_4ab6_81b4_c9abd5d"/>
      <w:bookmarkEnd w:id="13"/>
      <w:r>
        <w:rPr>
          <w:rFonts w:ascii="Arial" w:eastAsia="Arial" w:hAnsi="Arial" w:cs="Arial"/>
          <w:b/>
        </w:rPr>
        <w:t xml:space="preserve">1.  Policy. </w:t>
      </w:r>
      <w:r>
        <w:rPr>
          <w:rFonts w:ascii="Arial" w:eastAsia="Arial" w:hAnsi="Arial" w:cs="Arial"/>
        </w:rPr>
        <w:t xml:space="preserve"> It is the public policy of the State that the State not restrict a woman's exercise of her private decision to terminate a pregnancy before viability except as provided in section 1597‑A.  After viability an abortion may be performed only when it is necessary to preserve the life or health of the mother</w:t>
      </w:r>
      <w:r>
        <w:rPr>
          <w:rFonts w:ascii="Arial" w:eastAsia="Arial" w:hAnsi="Arial" w:cs="Arial"/>
          <w:u w:val="single"/>
        </w:rPr>
        <w:t>; when the fetus is diagnosed with a lethal fetal anomaly; or, if the mother is a minor, when the minor's pregnancy is the result of rape or incest</w:t>
      </w:r>
      <w:r>
        <w:rPr>
          <w:rFonts w:ascii="Arial" w:eastAsia="Arial" w:hAnsi="Arial" w:cs="Arial"/>
        </w:rPr>
        <w:t>. It is also the public policy of the State that all abortions may be performed only by a health care professional, as defined in section 1596, subsection 1, paragraph C.' '</w:t>
      </w:r>
    </w:p>
    <w:p w:rsidR="00B35476" w:rsidP="00B35476">
      <w:pPr>
        <w:ind w:left="360" w:firstLine="360"/>
        <w:rPr>
          <w:rFonts w:ascii="Arial" w:eastAsia="Arial" w:hAnsi="Arial" w:cs="Arial"/>
        </w:rPr>
      </w:pPr>
      <w:bookmarkStart w:id="15" w:name="_INSTRUCTION__d136f8c6_dc28_4599_a169_89"/>
      <w:bookmarkStart w:id="16" w:name="_PAR__14_4af5ff72_e297_4db1_8449_107a778"/>
      <w:bookmarkEnd w:id="10"/>
      <w:bookmarkEnd w:id="14"/>
      <w:r>
        <w:rPr>
          <w:rFonts w:ascii="Arial" w:eastAsia="Arial" w:hAnsi="Arial" w:cs="Arial"/>
        </w:rPr>
        <w:t>Amend the amendment by striking out all of section 3 and inserting the following:</w:t>
      </w:r>
    </w:p>
    <w:p w:rsidR="00B35476" w:rsidP="00B35476">
      <w:pPr>
        <w:ind w:left="360" w:firstLine="360"/>
        <w:rPr>
          <w:rFonts w:ascii="Arial" w:eastAsia="Arial" w:hAnsi="Arial" w:cs="Arial"/>
        </w:rPr>
      </w:pPr>
      <w:bookmarkStart w:id="17" w:name="_PAR__15_646ce4d5_e533_4715_9902_cf7272c"/>
      <w:bookmarkEnd w:id="16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3.  22 MRSA §1598, sub-§2, ¶A-1</w:t>
      </w:r>
      <w:r>
        <w:rPr>
          <w:rFonts w:ascii="Arial" w:eastAsia="Arial" w:hAnsi="Arial" w:cs="Arial"/>
        </w:rPr>
        <w:t xml:space="preserve"> is enacted to read:</w:t>
      </w:r>
    </w:p>
    <w:p w:rsidR="00B35476" w:rsidP="00B35476">
      <w:pPr>
        <w:ind w:left="720"/>
        <w:rPr>
          <w:rFonts w:ascii="Arial" w:eastAsia="Arial" w:hAnsi="Arial" w:cs="Arial"/>
        </w:rPr>
      </w:pPr>
      <w:bookmarkStart w:id="18" w:name="_PAR__16_f18f181f_6b4b_4e19_9731_740d980"/>
      <w:bookmarkEnd w:id="17"/>
      <w:r>
        <w:rPr>
          <w:rFonts w:ascii="Arial" w:eastAsia="Arial" w:hAnsi="Arial" w:cs="Arial"/>
          <w:u w:val="single"/>
        </w:rPr>
        <w:t>A-1.  "Lethal fetal anomaly" means a fetal condition diagnosed before birth that, if the pregnancy results in a live birth, will with reasonable certainty result in the child's death not more than 3 months after birth.</w:t>
      </w:r>
      <w:r>
        <w:rPr>
          <w:rFonts w:ascii="Arial" w:eastAsia="Arial" w:hAnsi="Arial" w:cs="Arial"/>
        </w:rPr>
        <w:t>'</w:t>
      </w:r>
    </w:p>
    <w:p w:rsidR="00B35476" w:rsidP="00B35476">
      <w:pPr>
        <w:ind w:left="360" w:firstLine="360"/>
        <w:rPr>
          <w:rFonts w:ascii="Arial" w:eastAsia="Arial" w:hAnsi="Arial" w:cs="Arial"/>
        </w:rPr>
      </w:pPr>
      <w:bookmarkStart w:id="19" w:name="_INSTRUCTION__dd1d22c6_8324_432f_94d1_3e"/>
      <w:bookmarkStart w:id="20" w:name="_PAR__17_5862ec5b_4e99_492f_8973_ab6859c"/>
      <w:bookmarkEnd w:id="15"/>
      <w:bookmarkEnd w:id="18"/>
      <w:r>
        <w:rPr>
          <w:rFonts w:ascii="Arial" w:eastAsia="Arial" w:hAnsi="Arial" w:cs="Arial"/>
        </w:rPr>
        <w:t>Amend the amendment by relettering or renumbering any nonconsecutive Part letter or section number to read consecutively.</w:t>
      </w:r>
    </w:p>
    <w:p w:rsidR="00B35476" w:rsidP="00B35476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1" w:name="_SUMMARY__31456c13_760d_4627_bf5c_d113ff"/>
      <w:bookmarkStart w:id="22" w:name="_PAR__18_68adb64a_c967_4757_bf90_67382ce"/>
      <w:bookmarkEnd w:id="19"/>
      <w:bookmarkEnd w:id="20"/>
      <w:r>
        <w:rPr>
          <w:rFonts w:ascii="Arial" w:eastAsia="Arial" w:hAnsi="Arial" w:cs="Arial"/>
          <w:b/>
          <w:sz w:val="24"/>
        </w:rPr>
        <w:t>SUMMARY</w:t>
      </w:r>
    </w:p>
    <w:p w:rsidR="00B35476" w:rsidP="00B35476">
      <w:pPr>
        <w:keepNext/>
        <w:ind w:left="360" w:firstLine="360"/>
        <w:rPr>
          <w:rFonts w:ascii="Arial" w:eastAsia="Arial" w:hAnsi="Arial" w:cs="Arial"/>
        </w:rPr>
      </w:pPr>
      <w:bookmarkStart w:id="23" w:name="_PAR__19_90d883a7_0542_4d6e_8d8d_5823b81"/>
      <w:bookmarkEnd w:id="22"/>
      <w:r>
        <w:rPr>
          <w:rFonts w:ascii="Arial" w:eastAsia="Arial" w:hAnsi="Arial" w:cs="Arial"/>
        </w:rPr>
        <w:t xml:space="preserve">This amendment replaces the provision of Committee Amendment "A" authorizing an abortion after viability when it is necessary in the professional judgment of a physician with a provision that authorizes an abortion after viability when necessary to preserve the life or health of the mother; when the fetus is diagnosed with a lethal fetal anomaly; or, if </w:t>
      </w:r>
      <w:bookmarkStart w:id="24" w:name="_PAGE_SPLIT__5979c765_52f4_4db0_8d73_e8b"/>
      <w:bookmarkStart w:id="25" w:name="_PAGE__2_2c326790_337c_4a75_a035_b53486c"/>
      <w:bookmarkStart w:id="26" w:name="_PAR__2_7ef30052_0ecf_48fa_9f13_c0aea032"/>
      <w:bookmarkEnd w:id="1"/>
      <w:bookmarkEnd w:id="23"/>
      <w:r>
        <w:rPr>
          <w:rFonts w:ascii="Arial" w:eastAsia="Arial" w:hAnsi="Arial" w:cs="Arial"/>
        </w:rPr>
        <w:t>t</w:t>
      </w:r>
      <w:bookmarkEnd w:id="24"/>
      <w:r>
        <w:rPr>
          <w:rFonts w:ascii="Arial" w:eastAsia="Arial" w:hAnsi="Arial" w:cs="Arial"/>
        </w:rPr>
        <w:t>he mother is a minor, when the minor's pregnancy was the result of rape or incest.  The amendment also defines "lethal fetal anomaly."</w:t>
      </w:r>
    </w:p>
    <w:p w:rsidR="00B35476" w:rsidP="00B35476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27" w:name="_SPONSOR_BLOCK__2b4f3742_bda9_4575_a302_"/>
      <w:bookmarkStart w:id="28" w:name="_PAR__3_20860339_efe2_498a_ae40_d013bee3"/>
      <w:bookmarkEnd w:id="21"/>
      <w:bookmarkEnd w:id="26"/>
      <w:r>
        <w:rPr>
          <w:rFonts w:ascii="Arial" w:eastAsia="Arial" w:hAnsi="Arial" w:cs="Arial"/>
          <w:b/>
        </w:rPr>
        <w:t>SPONSORED BY: ___________________________________</w:t>
      </w:r>
    </w:p>
    <w:p w:rsidR="00B35476" w:rsidP="00B35476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29" w:name="_PAR__4_5470317a_3c77_41e8_860c_4761b72c"/>
      <w:bookmarkEnd w:id="28"/>
      <w:r>
        <w:rPr>
          <w:rFonts w:ascii="Arial" w:eastAsia="Arial" w:hAnsi="Arial" w:cs="Arial"/>
          <w:b/>
        </w:rPr>
        <w:t>(Representative COLLINGS, B.)</w:t>
      </w:r>
    </w:p>
    <w:p w:rsidR="00000000" w:rsidRPr="00B35476" w:rsidP="00B35476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30" w:name="_PAR__5_0146637b_5235_4df5_9fc2_789dbf40"/>
      <w:bookmarkEnd w:id="29"/>
      <w:r>
        <w:rPr>
          <w:rFonts w:ascii="Arial" w:eastAsia="Arial" w:hAnsi="Arial" w:cs="Arial"/>
          <w:b/>
        </w:rPr>
        <w:t>TOWN: Portland</w:t>
      </w:r>
      <w:bookmarkEnd w:id="25"/>
      <w:bookmarkEnd w:id="27"/>
      <w:bookmarkEnd w:id="30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LR2454, item 4 - 131st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Improve Maine's Reproductive Privacy Laws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1619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35476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