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Concerning the Unannounced Execution of Search Warrants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Twenty-one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771 - L.D. 1043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Concerning the Unannounced Execution of Search Warrants</w:t>
      </w:r>
    </w:p>
    <w:p w:rsidR="00C679D3" w:rsidP="00C679D3">
      <w:pPr>
        <w:ind w:left="360"/>
        <w:rPr>
          <w:rFonts w:ascii="Arial" w:eastAsia="Arial" w:hAnsi="Arial" w:cs="Arial"/>
        </w:rPr>
      </w:pPr>
      <w:bookmarkStart w:id="0" w:name="_ENACTING_CLAUSE__02877090_3da5_4e5a_a5e"/>
      <w:bookmarkStart w:id="1" w:name="_PAR__1_b3e5b018_cf62_4413_b004_026e4042"/>
      <w:bookmarkStart w:id="2" w:name="_DOC_BODY_CONTAINER__a2949f2c_4118_4d50_"/>
      <w:r>
        <w:rPr>
          <w:rFonts w:ascii="Arial" w:eastAsia="Arial" w:hAnsi="Arial" w:cs="Arial"/>
          <w:b/>
        </w:rPr>
        <w:t>Be it enacted by the People of the State of Maine as follows:</w:t>
      </w:r>
    </w:p>
    <w:p w:rsidR="00C679D3" w:rsidP="00C679D3">
      <w:pPr>
        <w:ind w:left="360" w:firstLine="360"/>
        <w:rPr>
          <w:rFonts w:ascii="Arial" w:eastAsia="Arial" w:hAnsi="Arial" w:cs="Arial"/>
        </w:rPr>
      </w:pPr>
      <w:bookmarkStart w:id="3" w:name="_BILL_SECTION_HEADER__216c2477_a0f3_4251"/>
      <w:bookmarkStart w:id="4" w:name="_PAR__2_64ac28f2_fd4d_4150_89d6_9f2008de"/>
      <w:bookmarkStart w:id="5" w:name="_BILL_SECTION__48a3d9a6_f326_45fb_ae68_c"/>
      <w:bookmarkStart w:id="6" w:name="_DOC_BODY_CONTENT__c6b6395e_4edb_4217_a6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e4a6a58c_8f62_4766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25 MRSA §2803-B, sub-§1, ¶L,</w:t>
      </w:r>
      <w:r>
        <w:rPr>
          <w:rFonts w:ascii="Arial" w:eastAsia="Arial" w:hAnsi="Arial" w:cs="Arial"/>
        </w:rPr>
        <w:t xml:space="preserve"> as amended by PL 2019, c. 411, Pt. C, §3 and affected by Pt. D, §3, is further amended to read:</w:t>
      </w:r>
    </w:p>
    <w:p w:rsidR="00C679D3" w:rsidP="00C679D3">
      <w:pPr>
        <w:ind w:left="720"/>
        <w:rPr>
          <w:rFonts w:ascii="Arial" w:eastAsia="Arial" w:hAnsi="Arial" w:cs="Arial"/>
        </w:rPr>
      </w:pPr>
      <w:bookmarkStart w:id="8" w:name="_STATUTE_NUMBER__151cef7e_afd3_4b35_aaef"/>
      <w:bookmarkStart w:id="9" w:name="_STATUTE_P__be58c7fe_14dc_4e5c_928e_ee4d"/>
      <w:bookmarkStart w:id="10" w:name="_PAR__3_e71d875a_0b50_49b1_aa2d_996e137d"/>
      <w:bookmarkEnd w:id="3"/>
      <w:bookmarkEnd w:id="4"/>
      <w:r>
        <w:rPr>
          <w:rFonts w:ascii="Arial" w:eastAsia="Arial" w:hAnsi="Arial" w:cs="Arial"/>
        </w:rPr>
        <w:t>L</w:t>
      </w:r>
      <w:bookmarkEnd w:id="8"/>
      <w:r>
        <w:rPr>
          <w:rFonts w:ascii="Arial" w:eastAsia="Arial" w:hAnsi="Arial" w:cs="Arial"/>
        </w:rPr>
        <w:t xml:space="preserve">.  </w:t>
      </w:r>
      <w:bookmarkStart w:id="11" w:name="_STATUTE_CONTENT__3d4eb336_b957_42b8_b3e"/>
      <w:r>
        <w:rPr>
          <w:rFonts w:ascii="Arial" w:eastAsia="Arial" w:hAnsi="Arial" w:cs="Arial"/>
        </w:rPr>
        <w:t xml:space="preserve">Mental illness and the process for involuntary commitment, and the process pursuant to </w:t>
      </w:r>
      <w:bookmarkStart w:id="12" w:name="_CROSS_REFERENCE__f6f5bb85_ee9c_47eb_841"/>
      <w:r>
        <w:rPr>
          <w:rFonts w:ascii="Arial" w:eastAsia="Arial" w:hAnsi="Arial" w:cs="Arial"/>
        </w:rPr>
        <w:t>Title 34‑B, section 3862‑A</w:t>
      </w:r>
      <w:bookmarkEnd w:id="12"/>
      <w:r>
        <w:rPr>
          <w:rFonts w:ascii="Arial" w:eastAsia="Arial" w:hAnsi="Arial" w:cs="Arial"/>
        </w:rPr>
        <w:t xml:space="preserve">; </w:t>
      </w:r>
      <w:r>
        <w:rPr>
          <w:rFonts w:ascii="Arial" w:eastAsia="Arial" w:hAnsi="Arial" w:cs="Arial"/>
          <w:strike/>
        </w:rPr>
        <w:t>and</w:t>
      </w:r>
      <w:bookmarkEnd w:id="11"/>
    </w:p>
    <w:p w:rsidR="00C679D3" w:rsidP="00C679D3">
      <w:pPr>
        <w:ind w:left="360" w:firstLine="360"/>
        <w:rPr>
          <w:rFonts w:ascii="Arial" w:eastAsia="Arial" w:hAnsi="Arial" w:cs="Arial"/>
        </w:rPr>
      </w:pPr>
      <w:bookmarkStart w:id="13" w:name="_BILL_SECTION_HEADER__435f6cfd_4dd6_46e7"/>
      <w:bookmarkStart w:id="14" w:name="_PAR__4_0e5c0482_53ce_4991_9d10_12f9641b"/>
      <w:bookmarkStart w:id="15" w:name="_BILL_SECTION__e32d5ace_6350_44e4_bbe2_5"/>
      <w:bookmarkEnd w:id="5"/>
      <w:bookmarkEnd w:id="9"/>
      <w:bookmarkEnd w:id="10"/>
      <w:r>
        <w:rPr>
          <w:rFonts w:ascii="Arial" w:eastAsia="Arial" w:hAnsi="Arial" w:cs="Arial"/>
          <w:b/>
          <w:sz w:val="24"/>
        </w:rPr>
        <w:t xml:space="preserve">Sec. </w:t>
      </w:r>
      <w:bookmarkStart w:id="16" w:name="_BILL_SECTION_NUMBER__c176633a_6b23_4ab4"/>
      <w:r>
        <w:rPr>
          <w:rFonts w:ascii="Arial" w:eastAsia="Arial" w:hAnsi="Arial" w:cs="Arial"/>
          <w:b/>
          <w:sz w:val="24"/>
        </w:rPr>
        <w:t>2</w:t>
      </w:r>
      <w:bookmarkEnd w:id="16"/>
      <w:r>
        <w:rPr>
          <w:rFonts w:ascii="Arial" w:eastAsia="Arial" w:hAnsi="Arial" w:cs="Arial"/>
          <w:b/>
          <w:sz w:val="24"/>
        </w:rPr>
        <w:t>.  25 MRSA §2803-B, sub-§1, ¶M,</w:t>
      </w:r>
      <w:r>
        <w:rPr>
          <w:rFonts w:ascii="Arial" w:eastAsia="Arial" w:hAnsi="Arial" w:cs="Arial"/>
        </w:rPr>
        <w:t xml:space="preserve"> as enacted by PL 2013, c. 147, §20, is amended to read:</w:t>
      </w:r>
    </w:p>
    <w:p w:rsidR="00C679D3" w:rsidP="00C679D3">
      <w:pPr>
        <w:ind w:left="720"/>
        <w:rPr>
          <w:rFonts w:ascii="Arial" w:eastAsia="Arial" w:hAnsi="Arial" w:cs="Arial"/>
        </w:rPr>
      </w:pPr>
      <w:bookmarkStart w:id="17" w:name="_STATUTE_NUMBER__7ce448eb_6603_40ee_9659"/>
      <w:bookmarkStart w:id="18" w:name="_STATUTE_P__7b229bb8_a07a_440f_b234_6c3c"/>
      <w:bookmarkStart w:id="19" w:name="_PAR__5_526251a0_dd4b_4cbb_a689_c5ea0f9c"/>
      <w:bookmarkEnd w:id="13"/>
      <w:bookmarkEnd w:id="14"/>
      <w:r>
        <w:rPr>
          <w:rFonts w:ascii="Arial" w:eastAsia="Arial" w:hAnsi="Arial" w:cs="Arial"/>
        </w:rPr>
        <w:t>M</w:t>
      </w:r>
      <w:bookmarkEnd w:id="17"/>
      <w:r>
        <w:rPr>
          <w:rFonts w:ascii="Arial" w:eastAsia="Arial" w:hAnsi="Arial" w:cs="Arial"/>
        </w:rPr>
        <w:t xml:space="preserve">.  </w:t>
      </w:r>
      <w:bookmarkStart w:id="20" w:name="_STATUTE_CONTENT__acac29d4_f4b5_4ba1_936"/>
      <w:r>
        <w:rPr>
          <w:rFonts w:ascii="Arial" w:eastAsia="Arial" w:hAnsi="Arial" w:cs="Arial"/>
        </w:rPr>
        <w:t xml:space="preserve">Freedom of access requests.  The chief administrative officer of a municipal, county or state law enforcement agency shall certify to the board annually that the agency has adopted a written policy regarding procedures to deal with a freedom of access request and that the chief administrative officer has designated a person who is trained to respond to a request received by the agency pursuant to </w:t>
      </w:r>
      <w:bookmarkStart w:id="21" w:name="_CROSS_REFERENCE__29df2f36_9680_4536_9c2"/>
      <w:r>
        <w:rPr>
          <w:rFonts w:ascii="Arial" w:eastAsia="Arial" w:hAnsi="Arial" w:cs="Arial"/>
        </w:rPr>
        <w:t>Title 1, chapter 13</w:t>
      </w:r>
      <w:bookmarkEnd w:id="21"/>
      <w:r>
        <w:rPr>
          <w:rFonts w:ascii="Arial" w:eastAsia="Arial" w:hAnsi="Arial" w:cs="Arial"/>
          <w:strike/>
        </w:rPr>
        <w:t>.</w:t>
      </w:r>
      <w:r>
        <w:rPr>
          <w:rFonts w:ascii="Arial" w:eastAsia="Arial" w:hAnsi="Arial" w:cs="Arial"/>
          <w:u w:val="single"/>
        </w:rPr>
        <w:t>; and</w:t>
      </w:r>
      <w:bookmarkEnd w:id="20"/>
    </w:p>
    <w:p w:rsidR="00C679D3" w:rsidP="00C679D3">
      <w:pPr>
        <w:ind w:left="360" w:firstLine="360"/>
        <w:rPr>
          <w:rFonts w:ascii="Arial" w:eastAsia="Arial" w:hAnsi="Arial" w:cs="Arial"/>
        </w:rPr>
      </w:pPr>
      <w:bookmarkStart w:id="22" w:name="_BILL_SECTION_HEADER__96aef5f6_fabc_479d"/>
      <w:bookmarkStart w:id="23" w:name="_PAR__6_e2d4c4b8_c556_492c_98fa_1ec0bd2c"/>
      <w:bookmarkStart w:id="24" w:name="_BILL_SECTION__d46aff93_ad95_41e6_942a_1"/>
      <w:bookmarkEnd w:id="15"/>
      <w:bookmarkEnd w:id="18"/>
      <w:bookmarkEnd w:id="19"/>
      <w:r>
        <w:rPr>
          <w:rFonts w:ascii="Arial" w:eastAsia="Arial" w:hAnsi="Arial" w:cs="Arial"/>
          <w:b/>
          <w:sz w:val="24"/>
        </w:rPr>
        <w:t xml:space="preserve">Sec. </w:t>
      </w:r>
      <w:bookmarkStart w:id="25" w:name="_BILL_SECTION_NUMBER__345b1cc2_f5fc_4d43"/>
      <w:r>
        <w:rPr>
          <w:rFonts w:ascii="Arial" w:eastAsia="Arial" w:hAnsi="Arial" w:cs="Arial"/>
          <w:b/>
          <w:sz w:val="24"/>
        </w:rPr>
        <w:t>3</w:t>
      </w:r>
      <w:bookmarkEnd w:id="25"/>
      <w:r>
        <w:rPr>
          <w:rFonts w:ascii="Arial" w:eastAsia="Arial" w:hAnsi="Arial" w:cs="Arial"/>
          <w:b/>
          <w:sz w:val="24"/>
        </w:rPr>
        <w:t>.  25 MRSA §2803-B, sub-§1, ¶N</w:t>
      </w:r>
      <w:r>
        <w:rPr>
          <w:rFonts w:ascii="Arial" w:eastAsia="Arial" w:hAnsi="Arial" w:cs="Arial"/>
        </w:rPr>
        <w:t xml:space="preserve"> is enacted to read:</w:t>
      </w:r>
    </w:p>
    <w:p w:rsidR="00000000" w:rsidP="00C679D3">
      <w:pPr>
        <w:ind w:left="720"/>
        <w:rPr>
          <w:rFonts w:ascii="Arial" w:eastAsia="Arial" w:hAnsi="Arial" w:cs="Arial"/>
        </w:rPr>
      </w:pPr>
      <w:bookmarkStart w:id="26" w:name="_STATUTE_NUMBER__49450d61_f130_49cb_bb1d"/>
      <w:bookmarkStart w:id="27" w:name="_STATUTE_P__2ee64582_6302_47d4_a347_5b81"/>
      <w:bookmarkStart w:id="28" w:name="_PAR__7_05e6cd5c_4598_4bdd_8488_b07611ec"/>
      <w:bookmarkEnd w:id="22"/>
      <w:bookmarkEnd w:id="23"/>
      <w:r>
        <w:rPr>
          <w:rFonts w:ascii="Arial" w:eastAsia="Arial" w:hAnsi="Arial" w:cs="Arial"/>
          <w:u w:val="single"/>
        </w:rPr>
        <w:t>N</w:t>
      </w:r>
      <w:bookmarkEnd w:id="26"/>
      <w:r>
        <w:rPr>
          <w:rFonts w:ascii="Arial" w:eastAsia="Arial" w:hAnsi="Arial" w:cs="Arial"/>
          <w:u w:val="single"/>
        </w:rPr>
        <w:t xml:space="preserve">.  </w:t>
      </w:r>
      <w:bookmarkStart w:id="29" w:name="_STATUTE_CONTENT__813ecbb6_f66d_46c1_b52"/>
      <w:r>
        <w:rPr>
          <w:rFonts w:ascii="Arial" w:eastAsia="Arial" w:hAnsi="Arial" w:cs="Arial"/>
          <w:u w:val="single"/>
        </w:rPr>
        <w:t>Unannounced execu</w:t>
      </w:r>
      <w:r>
        <w:rPr>
          <w:rFonts w:ascii="Arial" w:eastAsia="Arial" w:hAnsi="Arial" w:cs="Arial"/>
          <w:u w:val="single"/>
        </w:rPr>
        <w:t>tion of search warrants</w:t>
      </w:r>
      <w:r>
        <w:rPr>
          <w:rFonts w:ascii="Arial" w:eastAsia="Arial" w:hAnsi="Arial" w:cs="Arial"/>
          <w:u w:val="single"/>
        </w:rPr>
        <w:t>.</w:t>
      </w:r>
      <w:bookmarkEnd w:id="2"/>
      <w:bookmarkEnd w:id="6"/>
      <w:bookmarkEnd w:id="24"/>
      <w:bookmarkEnd w:id="27"/>
      <w:bookmarkEnd w:id="28"/>
      <w:bookmarkEnd w:id="29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LR1524, item 4 - 130th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Concerning the Unannounced Execution of Search Warrants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1043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679D3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