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Remove Barriers to Abortion Coverage in Private Insurance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582 - L.D. 935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Remove Barriers to Abortion Coverage in Private Insurance</w:t>
      </w:r>
    </w:p>
    <w:p w:rsidR="00FB2A25" w:rsidP="00FB2A25">
      <w:pPr>
        <w:ind w:left="360"/>
        <w:rPr>
          <w:rFonts w:ascii="Arial" w:eastAsia="Arial" w:hAnsi="Arial" w:cs="Arial"/>
        </w:rPr>
      </w:pPr>
      <w:bookmarkStart w:id="0" w:name="_ENACTING_CLAUSE__84e4eb47_eb55_4cad_b89"/>
      <w:bookmarkStart w:id="1" w:name="_PAR__1_fb488055_0437_4a12_9834_9c8159b8"/>
      <w:bookmarkStart w:id="2" w:name="_DOC_BODY_CONTAINER__92a99abd_4dcb_4193_"/>
      <w:r>
        <w:rPr>
          <w:rFonts w:ascii="Arial" w:eastAsia="Arial" w:hAnsi="Arial" w:cs="Arial"/>
          <w:b/>
        </w:rPr>
        <w:t>Be it enacted by the People of the State of Maine as follows:</w:t>
      </w:r>
    </w:p>
    <w:p w:rsidR="00FB2A25" w:rsidP="00FB2A25">
      <w:pPr>
        <w:ind w:left="360" w:firstLine="360"/>
        <w:rPr>
          <w:rFonts w:ascii="Arial" w:eastAsia="Arial" w:hAnsi="Arial" w:cs="Arial"/>
        </w:rPr>
      </w:pPr>
      <w:bookmarkStart w:id="3" w:name="_BILL_SECTION_HEADER__e7918245_26a3_4f02"/>
      <w:bookmarkStart w:id="4" w:name="_BILL_SECTION__e9d5880d_ee5b_4d20_bd36_e"/>
      <w:bookmarkStart w:id="5" w:name="_INSTRUCTION__3e2e90fb_1f19_44af_836c_96"/>
      <w:bookmarkStart w:id="6" w:name="_DOC_BODY_CONTENT__8883776c_1ea5_4047_9a"/>
      <w:bookmarkEnd w:id="0"/>
      <w:bookmarkEnd w:id="1"/>
      <w:r>
        <w:rPr>
          <w:rFonts w:ascii="Arial" w:eastAsia="Arial" w:hAnsi="Arial" w:cs="Arial"/>
          <w:b/>
          <w:sz w:val="24"/>
        </w:rPr>
        <w:t xml:space="preserve">Sec. </w:t>
      </w:r>
      <w:bookmarkStart w:id="7" w:name="_BILL_SECTION_NUMBER__87f696ec_f7d0_431a"/>
      <w:r>
        <w:rPr>
          <w:rFonts w:ascii="Arial" w:eastAsia="Arial" w:hAnsi="Arial" w:cs="Arial"/>
          <w:b/>
          <w:sz w:val="24"/>
        </w:rPr>
        <w:t>1</w:t>
      </w:r>
      <w:bookmarkEnd w:id="7"/>
      <w:r>
        <w:rPr>
          <w:rFonts w:ascii="Arial" w:eastAsia="Arial" w:hAnsi="Arial" w:cs="Arial"/>
          <w:b/>
          <w:sz w:val="24"/>
        </w:rPr>
        <w:t>.  24-A MRSA §4320-M, sub-§2,</w:t>
      </w:r>
      <w:r>
        <w:rPr>
          <w:rFonts w:ascii="Arial" w:eastAsia="Arial" w:hAnsi="Arial" w:cs="Arial"/>
        </w:rPr>
        <w:t xml:space="preserve"> as enacted by PL 2019, c. 274, §5, is amended to read:</w:t>
      </w:r>
    </w:p>
    <w:p w:rsidR="00FB2A25" w:rsidP="00FB2A25">
      <w:pPr>
        <w:ind w:left="360" w:firstLine="360"/>
        <w:rPr>
          <w:rFonts w:ascii="Arial" w:eastAsia="Arial" w:hAnsi="Arial" w:cs="Arial"/>
        </w:rPr>
      </w:pPr>
      <w:bookmarkStart w:id="8" w:name="_STATUTE_NUMBER__17aa8b4a_703f_458e_831f"/>
      <w:bookmarkStart w:id="9" w:name="_STATUTE_SS__df293bec_9402_4687_8182_5d1"/>
      <w:bookmarkEnd w:id="3"/>
      <w:r>
        <w:rPr>
          <w:rFonts w:ascii="Arial" w:eastAsia="Arial" w:hAnsi="Arial" w:cs="Arial"/>
          <w:b/>
        </w:rPr>
        <w:t>2</w:t>
      </w:r>
      <w:bookmarkEnd w:id="8"/>
      <w:r>
        <w:rPr>
          <w:rFonts w:ascii="Arial" w:eastAsia="Arial" w:hAnsi="Arial" w:cs="Arial"/>
          <w:b/>
        </w:rPr>
        <w:t xml:space="preserve">.  </w:t>
      </w:r>
      <w:bookmarkStart w:id="10" w:name="_STATUTE_HEADNOTE__a0b26892_d3e7_46b8_b9"/>
      <w:r>
        <w:rPr>
          <w:rFonts w:ascii="Arial" w:eastAsia="Arial" w:hAnsi="Arial" w:cs="Arial"/>
          <w:b/>
        </w:rPr>
        <w:t>Limits;</w:t>
      </w:r>
      <w:bookmarkStart w:id="11" w:name="_REV__c79da4c0_20f5_4ea4_a27f_4fde6429ed"/>
      <w:bookmarkStart w:id="12" w:name="_PROCESSED_CHANGE__74cc7824_df97_41f6_84"/>
      <w:bookmarkStart w:id="13" w:name="_PROCESSED_CHANGE__dbc1af65_7e33_4fd3_b3"/>
      <w:r>
        <w:rPr>
          <w:rFonts w:ascii="Arial" w:eastAsia="Arial" w:hAnsi="Arial" w:cs="Arial"/>
          <w:b/>
        </w:rPr>
        <w:t xml:space="preserve"> </w:t>
      </w:r>
      <w:r>
        <w:rPr>
          <w:rFonts w:ascii="Arial" w:eastAsia="Arial" w:hAnsi="Arial" w:cs="Arial"/>
          <w:b/>
          <w:strike/>
        </w:rPr>
        <w:t>deductible;</w:t>
      </w:r>
      <w:bookmarkEnd w:id="11"/>
      <w:bookmarkEnd w:id="12"/>
      <w:bookmarkEnd w:id="13"/>
      <w:r>
        <w:rPr>
          <w:rFonts w:ascii="Arial" w:eastAsia="Arial" w:hAnsi="Arial" w:cs="Arial"/>
          <w:b/>
        </w:rPr>
        <w:t xml:space="preserve"> copayment</w:t>
      </w:r>
      <w:bookmarkStart w:id="14" w:name="_REV__15104365_9cb6_4ee2_a53c_e5b7fe4f58"/>
      <w:bookmarkStart w:id="15" w:name="_PROCESSED_CHANGE__e989c2da_2962_4d2d_a7"/>
      <w:bookmarkStart w:id="16" w:name="_PROCESSED_CHANGE__f35f6c2d_8b86_4850_95"/>
      <w:r>
        <w:rPr>
          <w:rFonts w:ascii="Arial" w:eastAsia="Arial" w:hAnsi="Arial" w:cs="Arial"/>
          <w:b/>
          <w:strike/>
        </w:rPr>
        <w:t>; coinsurance</w:t>
      </w:r>
      <w:bookmarkEnd w:id="14"/>
      <w:bookmarkEnd w:id="15"/>
      <w:bookmarkEnd w:id="16"/>
      <w:r>
        <w:rPr>
          <w:rFonts w:ascii="Arial" w:eastAsia="Arial" w:hAnsi="Arial" w:cs="Arial"/>
          <w:b/>
        </w:rPr>
        <w:t>.</w:t>
      </w:r>
      <w:bookmarkEnd w:id="10"/>
      <w:r>
        <w:rPr>
          <w:rFonts w:ascii="Arial" w:eastAsia="Arial" w:hAnsi="Arial" w:cs="Arial"/>
          <w:b/>
        </w:rPr>
        <w:t xml:space="preserve"> </w:t>
      </w:r>
      <w:r>
        <w:rPr>
          <w:rFonts w:ascii="Arial" w:eastAsia="Arial" w:hAnsi="Arial" w:cs="Arial"/>
        </w:rPr>
        <w:t xml:space="preserve"> </w:t>
      </w:r>
      <w:bookmarkStart w:id="17" w:name="_STATUTE_CONTENT__ea659149_f4b8_4365_828"/>
      <w:r>
        <w:rPr>
          <w:rFonts w:ascii="Arial" w:eastAsia="Arial" w:hAnsi="Arial" w:cs="Arial"/>
        </w:rPr>
        <w:t>A health plan that provides coverage for the services required by this section may contain provisions for maximum benefits and</w:t>
      </w:r>
      <w:bookmarkStart w:id="18" w:name="_REV__26ce769d_68c4_443b_a0f8_9805f4aecb"/>
      <w:bookmarkStart w:id="19" w:name="_PROCESSED_CHANGE__68982d31_54e8_4708_a0"/>
      <w:bookmarkStart w:id="20" w:name="_PROCESSED_CHANGE__a4fec4c6_0e94_4885_b8"/>
      <w:bookmarkStart w:id="21" w:name="_PROCESSED_CHANGE__ff5dec65_34a3_4ada_b8"/>
      <w:r>
        <w:rPr>
          <w:rFonts w:ascii="Arial" w:eastAsia="Arial" w:hAnsi="Arial" w:cs="Arial"/>
        </w:rPr>
        <w:t xml:space="preserve"> </w:t>
      </w:r>
      <w:r>
        <w:rPr>
          <w:rFonts w:ascii="Arial" w:eastAsia="Arial" w:hAnsi="Arial" w:cs="Arial"/>
          <w:strike/>
        </w:rPr>
        <w:t>coinsurance and</w:t>
      </w:r>
      <w:bookmarkEnd w:id="18"/>
      <w:bookmarkEnd w:id="19"/>
      <w:bookmarkEnd w:id="20"/>
      <w:bookmarkEnd w:id="21"/>
      <w:r>
        <w:rPr>
          <w:rFonts w:ascii="Arial" w:eastAsia="Arial" w:hAnsi="Arial" w:cs="Arial"/>
        </w:rPr>
        <w:t xml:space="preserve"> reasonable limitations</w:t>
      </w:r>
      <w:bookmarkStart w:id="22" w:name="_REV__3515d51b_8c28_42bd_bf9c_11230a9e79"/>
      <w:bookmarkStart w:id="23" w:name="_PROCESSED_CHANGE__f435c701_1d87_485e_8d"/>
      <w:bookmarkStart w:id="24" w:name="_PROCESSED_CHANGE__6c2ef466_39a1_437b_b6"/>
      <w:bookmarkStart w:id="25" w:name="_PROCESSED_CHANGE__de395ebf_92b5_4470_b7"/>
      <w:r>
        <w:rPr>
          <w:rFonts w:ascii="Arial" w:eastAsia="Arial" w:hAnsi="Arial" w:cs="Arial"/>
          <w:strike/>
        </w:rPr>
        <w:t>, deductibles</w:t>
      </w:r>
      <w:bookmarkEnd w:id="22"/>
      <w:bookmarkEnd w:id="23"/>
      <w:bookmarkEnd w:id="24"/>
      <w:bookmarkEnd w:id="25"/>
      <w:r>
        <w:rPr>
          <w:rFonts w:ascii="Arial" w:eastAsia="Arial" w:hAnsi="Arial" w:cs="Arial"/>
        </w:rPr>
        <w:t xml:space="preserve"> and exclusions to the extent that these provisions are not inconsistent with the requirements of this section.</w:t>
      </w:r>
      <w:bookmarkEnd w:id="17"/>
    </w:p>
    <w:p w:rsidR="00FB2A25" w:rsidP="00FB2A25">
      <w:pPr>
        <w:ind w:left="360" w:firstLine="360"/>
        <w:rPr>
          <w:rFonts w:ascii="Arial" w:eastAsia="Arial" w:hAnsi="Arial" w:cs="Arial"/>
        </w:rPr>
      </w:pPr>
      <w:bookmarkStart w:id="26" w:name="_BILL_SECTION_HEADER__6e05c064_d3bb_4d10"/>
      <w:bookmarkStart w:id="27" w:name="_BILL_SECTION__f34ae7ff_1a4b_4195_ab47_d"/>
      <w:bookmarkEnd w:id="4"/>
      <w:bookmarkEnd w:id="9"/>
      <w:r>
        <w:rPr>
          <w:rFonts w:ascii="Arial" w:eastAsia="Arial" w:hAnsi="Arial" w:cs="Arial"/>
          <w:b/>
          <w:sz w:val="24"/>
        </w:rPr>
        <w:t xml:space="preserve">Sec. </w:t>
      </w:r>
      <w:bookmarkStart w:id="28" w:name="_BILL_SECTION_NUMBER__3c8c7429_823c_4e64"/>
      <w:r>
        <w:rPr>
          <w:rFonts w:ascii="Arial" w:eastAsia="Arial" w:hAnsi="Arial" w:cs="Arial"/>
          <w:b/>
          <w:sz w:val="24"/>
        </w:rPr>
        <w:t>2</w:t>
      </w:r>
      <w:bookmarkEnd w:id="28"/>
      <w:r>
        <w:rPr>
          <w:rFonts w:ascii="Arial" w:eastAsia="Arial" w:hAnsi="Arial" w:cs="Arial"/>
          <w:b/>
          <w:sz w:val="24"/>
        </w:rPr>
        <w:t>.  24-A MRSA §4320-M, sub-§2-A</w:t>
      </w:r>
      <w:r>
        <w:rPr>
          <w:rFonts w:ascii="Arial" w:eastAsia="Arial" w:hAnsi="Arial" w:cs="Arial"/>
        </w:rPr>
        <w:t xml:space="preserve"> is enacted to read:</w:t>
      </w:r>
    </w:p>
    <w:p w:rsidR="00FB2A25" w:rsidP="00FB2A25">
      <w:pPr>
        <w:ind w:left="360" w:firstLine="360"/>
        <w:rPr>
          <w:rFonts w:ascii="Arial" w:eastAsia="Arial" w:hAnsi="Arial" w:cs="Arial"/>
        </w:rPr>
      </w:pPr>
      <w:bookmarkStart w:id="29" w:name="_STATUTE_NUMBER__73dae5d6_1eee_4f48_a653"/>
      <w:bookmarkStart w:id="30" w:name="_STATUTE_SS__932086f8_430d_4d4e_b8f9_147"/>
      <w:bookmarkStart w:id="31" w:name="_REV__2b9ffb7e_a175_4eac_a161_21d12cef03"/>
      <w:bookmarkStart w:id="32" w:name="_PROCESSED_CHANGE__0b2e5027_2d02_4dc7_94"/>
      <w:bookmarkStart w:id="33" w:name="_PROCESSED_CHANGE__1176d2fb_c596_4ab9_be"/>
      <w:bookmarkStart w:id="34" w:name="_PROCESSED_CHANGE__5ff664ab_d507_4e54_9e"/>
      <w:bookmarkEnd w:id="26"/>
      <w:r>
        <w:rPr>
          <w:rFonts w:ascii="Arial" w:eastAsia="Arial" w:hAnsi="Arial" w:cs="Arial"/>
          <w:b/>
          <w:u w:val="single"/>
        </w:rPr>
        <w:t>2-A</w:t>
      </w:r>
      <w:bookmarkEnd w:id="29"/>
      <w:r>
        <w:rPr>
          <w:rFonts w:ascii="Arial" w:eastAsia="Arial" w:hAnsi="Arial" w:cs="Arial"/>
          <w:b/>
          <w:u w:val="single"/>
        </w:rPr>
        <w:t xml:space="preserve">.  </w:t>
      </w:r>
      <w:bookmarkStart w:id="35" w:name="_STATUTE_HEADNOTE__b7b57de6_d934_4d5b_af"/>
      <w:r>
        <w:rPr>
          <w:rFonts w:ascii="Arial" w:eastAsia="Arial" w:hAnsi="Arial" w:cs="Arial"/>
          <w:b/>
          <w:u w:val="single"/>
        </w:rPr>
        <w:t>Cost</w:t>
      </w:r>
      <w:r>
        <w:rPr>
          <w:rFonts w:ascii="Arial" w:eastAsia="Arial" w:hAnsi="Arial" w:cs="Arial"/>
          <w:b/>
          <w:u w:val="single"/>
        </w:rPr>
        <w:t xml:space="preserve"> </w:t>
      </w:r>
      <w:r>
        <w:rPr>
          <w:rFonts w:ascii="Arial" w:eastAsia="Arial" w:hAnsi="Arial" w:cs="Arial"/>
          <w:b/>
          <w:u w:val="single"/>
        </w:rPr>
        <w:t xml:space="preserve">sharing prohibited. </w:t>
      </w:r>
      <w:r>
        <w:rPr>
          <w:rFonts w:ascii="Arial" w:eastAsia="Arial" w:hAnsi="Arial" w:cs="Arial"/>
          <w:u w:val="single"/>
        </w:rPr>
        <w:t xml:space="preserve"> </w:t>
      </w:r>
      <w:bookmarkStart w:id="36" w:name="_STATUTE_CONTENT__837a7dae_173a_4561_813"/>
      <w:bookmarkEnd w:id="35"/>
      <w:r>
        <w:rPr>
          <w:rFonts w:ascii="Arial" w:eastAsia="Arial" w:hAnsi="Arial" w:cs="Arial"/>
          <w:u w:val="single"/>
        </w:rPr>
        <w:t>Notwithstanding subsection 2, a health plan with an effective date on or after January 1, 2024 may not impose any deductible, copayment, coinsurance or other cost-sharing requirement for the costs of abortion services. This subsection does not apply to a health plan offered for use with a health savings account unless the federal Internal Revenue Service determines that the requirements in this subsection are permissible in a high deductible health plan as defined in the federal Internal Revenue Code, Section 223(c)(2).</w:t>
      </w:r>
    </w:p>
    <w:p w:rsidR="00000000" w:rsidP="00FB2A25">
      <w:pPr>
        <w:ind w:left="360" w:firstLine="360"/>
        <w:rPr>
          <w:rFonts w:ascii="Arial" w:eastAsia="Arial" w:hAnsi="Arial" w:cs="Arial"/>
        </w:rPr>
      </w:pPr>
      <w:bookmarkStart w:id="37" w:name="_BILL_SECTION_UNALLOCATED__7512df23_b9fa"/>
      <w:bookmarkEnd w:id="27"/>
      <w:bookmarkEnd w:id="30"/>
      <w:bookmarkEnd w:id="31"/>
      <w:bookmarkEnd w:id="32"/>
      <w:bookmarkEnd w:id="33"/>
      <w:bookmarkEnd w:id="34"/>
      <w:bookmarkEnd w:id="36"/>
      <w:r>
        <w:rPr>
          <w:rFonts w:ascii="Arial" w:eastAsia="Arial" w:hAnsi="Arial" w:cs="Arial"/>
          <w:b/>
          <w:sz w:val="24"/>
        </w:rPr>
        <w:t xml:space="preserve">Sec. </w:t>
      </w:r>
      <w:bookmarkStart w:id="38" w:name="_BILL_SECTION_NUMBER__afb36bea_24a1_41b2"/>
      <w:r>
        <w:rPr>
          <w:rFonts w:ascii="Arial" w:eastAsia="Arial" w:hAnsi="Arial" w:cs="Arial"/>
          <w:b/>
          <w:sz w:val="24"/>
        </w:rPr>
        <w:t>3</w:t>
      </w:r>
      <w:bookmarkEnd w:id="38"/>
      <w:r>
        <w:rPr>
          <w:rFonts w:ascii="Arial" w:eastAsia="Arial" w:hAnsi="Arial" w:cs="Arial"/>
          <w:b/>
          <w:sz w:val="24"/>
        </w:rPr>
        <w:t>.</w:t>
      </w:r>
      <w:r>
        <w:rPr>
          <w:rFonts w:ascii="Arial" w:eastAsia="Arial" w:hAnsi="Arial" w:cs="Arial"/>
        </w:rPr>
        <w:t xml:space="preserve"> </w:t>
      </w:r>
      <w:r w:rsidRPr="005604AB">
        <w:rPr>
          <w:rFonts w:ascii="Arial" w:eastAsia="Arial" w:hAnsi="Arial" w:cs="Arial"/>
          <w:b/>
          <w:sz w:val="24"/>
          <w:szCs w:val="24"/>
        </w:rPr>
        <w:t>Application.</w:t>
      </w:r>
      <w:r>
        <w:rPr>
          <w:rFonts w:ascii="Arial" w:eastAsia="Arial" w:hAnsi="Arial" w:cs="Arial"/>
        </w:rPr>
        <w:t xml:space="preserve"> The requirements of this Act apply to all policies, contracts and certificates executed, delivered, issued for delivery, continued or renewed in this State on or after January 1, 2024. For purposes of this Act, all contracts are deemed to be renewed no later than the next yearly anniversary of the contract date.</w:t>
      </w:r>
      <w:bookmarkEnd w:id="2"/>
      <w:bookmarkEnd w:id="5"/>
      <w:bookmarkEnd w:id="6"/>
      <w:bookmarkEnd w:id="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LR2109,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Remove Barriers to Abortion Coverage in Private Insurance</w:t>
    </w:r>
  </w:p>
  <w:p>
    <w:pPr>
      <w:suppressLineNumbers/>
      <w:spacing w:before="0" w:after="0"/>
      <w:jc w:val="center"/>
      <w:rPr>
        <w:rFonts w:ascii="Arial" w:eastAsia="Arial" w:hAnsi="Arial" w:cs="Arial"/>
      </w:rPr>
    </w:pPr>
    <w:r>
      <w:rPr>
        <w:rFonts w:ascii="Arial" w:eastAsia="Arial" w:hAnsi="Arial" w:cs="Arial"/>
        <w:sz w:val="22"/>
      </w:rPr>
      <w:t>L.D. 935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04AB"/>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B2A25"/>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