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2:  Hearing Procedures and Portions of Chapter 3:  Maine Clean Election Act and Related Provisions, Major Substantive Rules of the Commission on Governmental Ethics and Election Practices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242 - L.D. 391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2:  Hearing Procedures and Portions of Chapter 3:  Maine Clean Election Act and Related Provisions, Major Substantive Rules of the Commission on Governmental Ethics and Election Practices</w:t>
      </w:r>
    </w:p>
    <w:p w:rsidR="003D6C3A" w:rsidP="003D6C3A">
      <w:pPr>
        <w:ind w:left="360" w:firstLine="360"/>
        <w:rPr>
          <w:rFonts w:ascii="Arial" w:eastAsia="Arial" w:hAnsi="Arial" w:cs="Arial"/>
        </w:rPr>
      </w:pPr>
      <w:bookmarkStart w:id="0" w:name="_PAR__1_8fb5ee70_3619_4583_9e9d_a8cf376e"/>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3D6C3A" w:rsidP="003D6C3A">
      <w:pPr>
        <w:ind w:left="360" w:firstLine="360"/>
        <w:rPr>
          <w:rFonts w:ascii="Arial" w:eastAsia="Arial" w:hAnsi="Arial" w:cs="Arial"/>
        </w:rPr>
      </w:pPr>
      <w:bookmarkStart w:id="3" w:name="_PAR__2_0a09a91c_5f72_42db_a011_f71cc77d"/>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w:t>
      </w:r>
      <w:r>
        <w:rPr>
          <w:rFonts w:ascii="Arial" w:eastAsia="Arial" w:hAnsi="Arial" w:cs="Arial"/>
          <w:szCs w:val="22"/>
        </w:rPr>
        <w:noBreakHyphen/>
      </w:r>
      <w:r w:rsidRPr="00D00E81">
        <w:rPr>
          <w:rFonts w:ascii="Arial" w:eastAsia="Arial" w:hAnsi="Arial" w:cs="Arial"/>
          <w:szCs w:val="22"/>
        </w:rPr>
        <w:t>A requires legislative authorization before major substantive agency rules may be finally adopted by the agency; and</w:t>
      </w:r>
    </w:p>
    <w:p w:rsidR="003D6C3A" w:rsidP="003D6C3A">
      <w:pPr>
        <w:ind w:left="360" w:firstLine="360"/>
        <w:rPr>
          <w:rFonts w:ascii="Arial" w:eastAsia="Arial" w:hAnsi="Arial" w:cs="Arial"/>
        </w:rPr>
      </w:pPr>
      <w:bookmarkStart w:id="4" w:name="_PAR__3_a603a6f8_174f_44f9_87f1_b2874173"/>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major substantive rule</w:t>
      </w:r>
      <w:r>
        <w:rPr>
          <w:rFonts w:ascii="Arial" w:eastAsia="Arial" w:hAnsi="Arial" w:cs="Arial"/>
        </w:rPr>
        <w:t>s</w:t>
      </w:r>
      <w:r w:rsidRPr="00D00E81">
        <w:rPr>
          <w:rFonts w:ascii="Arial" w:eastAsia="Arial" w:hAnsi="Arial" w:cs="Arial"/>
        </w:rPr>
        <w:t xml:space="preserve"> ha</w:t>
      </w:r>
      <w:r>
        <w:rPr>
          <w:rFonts w:ascii="Arial" w:eastAsia="Arial" w:hAnsi="Arial" w:cs="Arial"/>
        </w:rPr>
        <w:t>ve</w:t>
      </w:r>
      <w:r w:rsidRPr="00D00E81">
        <w:rPr>
          <w:rFonts w:ascii="Arial" w:eastAsia="Arial" w:hAnsi="Arial" w:cs="Arial"/>
        </w:rPr>
        <w:t xml:space="preserve"> been submitted to the Legislature </w:t>
      </w:r>
      <w:r>
        <w:rPr>
          <w:rFonts w:ascii="Arial" w:eastAsia="Arial" w:hAnsi="Arial" w:cs="Arial"/>
        </w:rPr>
        <w:t>for review</w:t>
      </w:r>
      <w:r w:rsidRPr="00D00E81">
        <w:rPr>
          <w:rFonts w:ascii="Arial" w:eastAsia="Arial" w:hAnsi="Arial" w:cs="Arial"/>
        </w:rPr>
        <w:t>; and</w:t>
      </w:r>
    </w:p>
    <w:p w:rsidR="003D6C3A" w:rsidP="003D6C3A">
      <w:pPr>
        <w:ind w:left="360" w:firstLine="360"/>
        <w:rPr>
          <w:rFonts w:ascii="Arial" w:eastAsia="Arial" w:hAnsi="Arial" w:cs="Arial"/>
        </w:rPr>
      </w:pPr>
      <w:bookmarkStart w:id="5" w:name="_PAR__4_587d77cb_336b_42a5_b2e3_592f9f93"/>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w:t>
      </w:r>
      <w:r>
        <w:rPr>
          <w:rFonts w:ascii="Arial" w:eastAsia="Arial" w:hAnsi="Arial" w:cs="Arial"/>
        </w:rPr>
        <w:t>s</w:t>
      </w:r>
      <w:r w:rsidRPr="00D00E81">
        <w:rPr>
          <w:rFonts w:ascii="Arial" w:eastAsia="Arial" w:hAnsi="Arial" w:cs="Arial"/>
        </w:rPr>
        <w:t>; and</w:t>
      </w:r>
    </w:p>
    <w:p w:rsidR="003D6C3A" w:rsidP="003D6C3A">
      <w:pPr>
        <w:ind w:left="360" w:firstLine="360"/>
        <w:rPr>
          <w:rFonts w:ascii="Arial" w:eastAsia="Arial" w:hAnsi="Arial" w:cs="Arial"/>
        </w:rPr>
      </w:pPr>
      <w:bookmarkStart w:id="6" w:name="_PAR__5_dff60077_0fa9_4bca_b815_3fd67505"/>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3D6C3A" w:rsidP="003D6C3A">
      <w:pPr>
        <w:ind w:left="360" w:firstLine="360"/>
        <w:rPr>
          <w:rFonts w:ascii="Arial" w:eastAsia="Arial" w:hAnsi="Arial" w:cs="Arial"/>
        </w:rPr>
      </w:pPr>
      <w:bookmarkStart w:id="7" w:name="_BILL_SECTION_UNALLOCATED__ff2e9658_7fb4"/>
      <w:bookmarkStart w:id="8" w:name="_INSTRUCTION__301b01bc_53a6_442f_8275_60"/>
      <w:bookmarkStart w:id="9" w:name="_DOC_BODY_CONTENT__26a3b377_631a_4816_aa"/>
      <w:bookmarkEnd w:id="1"/>
      <w:bookmarkEnd w:id="6"/>
      <w:r>
        <w:rPr>
          <w:rFonts w:ascii="Arial" w:eastAsia="Arial" w:hAnsi="Arial" w:cs="Arial"/>
          <w:b/>
          <w:sz w:val="24"/>
        </w:rPr>
        <w:t xml:space="preserve">Sec. </w:t>
      </w:r>
      <w:bookmarkStart w:id="10" w:name="_BILL_SECTION_NUMBER__c54b58c9_3e5a_4bb4"/>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EC4719">
        <w:rPr>
          <w:rFonts w:ascii="Arial" w:eastAsia="Arial" w:hAnsi="Arial" w:cs="Arial"/>
          <w:b/>
          <w:sz w:val="24"/>
          <w:szCs w:val="24"/>
        </w:rPr>
        <w:t>Adoption.  Resolved:</w:t>
      </w:r>
      <w:r w:rsidRPr="00EC4719">
        <w:rPr>
          <w:rFonts w:ascii="Arial" w:eastAsia="Arial" w:hAnsi="Arial" w:cs="Arial"/>
        </w:rPr>
        <w:t xml:space="preserve"> That final adoption of portions of Chapter 2: Hearing Procedures and portions of Chapter 3: Maine Clean Election Act and Related Provisions, provisionally adopted major substantive rules of the Commission on Governmental Ethics and Election Practices that have been submitted to the Legislature for review pursuant to the Maine Revised Statutes, Title 5, chapter 375, subchapter 2</w:t>
      </w:r>
      <w:r>
        <w:rPr>
          <w:rFonts w:ascii="Arial" w:eastAsia="Arial" w:hAnsi="Arial" w:cs="Arial"/>
        </w:rPr>
        <w:noBreakHyphen/>
      </w:r>
      <w:r w:rsidRPr="00EC4719">
        <w:rPr>
          <w:rFonts w:ascii="Arial" w:eastAsia="Arial" w:hAnsi="Arial" w:cs="Arial"/>
        </w:rPr>
        <w:t>A, is authorized only if the change in Chapter 3</w:t>
      </w:r>
      <w:r>
        <w:rPr>
          <w:rFonts w:ascii="Arial" w:eastAsia="Arial" w:hAnsi="Arial" w:cs="Arial"/>
        </w:rPr>
        <w:t>, Section 9, subsection 2</w:t>
      </w:r>
      <w:r w:rsidRPr="00EC4719">
        <w:rPr>
          <w:rFonts w:ascii="Arial" w:eastAsia="Arial" w:hAnsi="Arial" w:cs="Arial"/>
        </w:rPr>
        <w:t xml:space="preserve"> regarding death, withdrawal or disqualification of a candidate</w:t>
      </w:r>
      <w:r>
        <w:rPr>
          <w:rFonts w:ascii="Arial" w:eastAsia="Arial" w:hAnsi="Arial" w:cs="Arial"/>
        </w:rPr>
        <w:t xml:space="preserve"> during a campaign</w:t>
      </w:r>
      <w:r w:rsidRPr="00EC4719">
        <w:rPr>
          <w:rFonts w:ascii="Arial" w:eastAsia="Arial" w:hAnsi="Arial" w:cs="Arial"/>
        </w:rPr>
        <w:t xml:space="preserve">, which allows for the qualifying period for replacement candidates to begin when the Secretary of State receives a notice of withdrawal or declares a vacancy and for the </w:t>
      </w:r>
      <w:r>
        <w:rPr>
          <w:rFonts w:ascii="Arial" w:eastAsia="Arial" w:hAnsi="Arial" w:cs="Arial"/>
        </w:rPr>
        <w:t>c</w:t>
      </w:r>
      <w:r w:rsidRPr="00EC4719">
        <w:rPr>
          <w:rFonts w:ascii="Arial" w:eastAsia="Arial" w:hAnsi="Arial" w:cs="Arial"/>
        </w:rPr>
        <w:t>ommission to establish the end of the qualifying period, is removed.</w:t>
      </w:r>
    </w:p>
    <w:p w:rsidR="00000000" w:rsidP="003D6C3A">
      <w:pPr>
        <w:ind w:left="360" w:firstLine="360"/>
        <w:rPr>
          <w:rFonts w:ascii="Arial" w:eastAsia="Arial" w:hAnsi="Arial" w:cs="Arial"/>
        </w:rPr>
      </w:pPr>
      <w:bookmarkStart w:id="11" w:name="_EMERGENCY_CLAUSE__cf757baf_ddc6_4eda_b1"/>
      <w:bookmarkStart w:id="12" w:name="_PAR__7_94eed88e_f099_4616_99b0_5be0264e"/>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LR2433,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2:  Hearing Procedures and Portions of Chapter 3:  Maine Clean Election Act and Related Provisions, Major Substantive Rules of the Commission on Governmental Ethics and Election Practices</w:t>
    </w:r>
  </w:p>
  <w:p>
    <w:pPr>
      <w:suppressLineNumbers/>
      <w:spacing w:before="0" w:after="0"/>
      <w:jc w:val="center"/>
      <w:rPr>
        <w:rFonts w:ascii="Arial" w:eastAsia="Arial" w:hAnsi="Arial" w:cs="Arial"/>
      </w:rPr>
    </w:pPr>
    <w:r>
      <w:rPr>
        <w:rFonts w:ascii="Arial" w:eastAsia="Arial" w:hAnsi="Arial" w:cs="Arial"/>
        <w:sz w:val="22"/>
      </w:rPr>
      <w:t>L.D. 391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D6C3A"/>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4719"/>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