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Voting Requirement to Extend the Date for Adjournment of the Legislature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663 - L.D. 1668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Voting Requirement to Extend the Date for Adjournment of the Legislature</w:t>
      </w:r>
    </w:p>
    <w:p w:rsidR="00477C25" w:rsidP="00477C25">
      <w:pPr>
        <w:ind w:left="360"/>
        <w:rPr>
          <w:rFonts w:ascii="Arial" w:eastAsia="Arial" w:hAnsi="Arial" w:cs="Arial"/>
        </w:rPr>
      </w:pPr>
      <w:bookmarkStart w:id="0" w:name="_ENACTING_CLAUSE__6b7e0692_028f_46c2_b61"/>
      <w:bookmarkStart w:id="1" w:name="_PAR__1_443ecd4c_1603_487f_b894_247051a1"/>
      <w:bookmarkStart w:id="2" w:name="_DOC_BODY_CONTAINER__3fd6cbf0_e679_4fb5_"/>
      <w:r>
        <w:rPr>
          <w:rFonts w:ascii="Arial" w:eastAsia="Arial" w:hAnsi="Arial" w:cs="Arial"/>
          <w:b/>
        </w:rPr>
        <w:t>Be it enacted by the People of the State of Maine as follows:</w:t>
      </w:r>
    </w:p>
    <w:p w:rsidR="00477C25" w:rsidP="00477C25">
      <w:pPr>
        <w:ind w:left="360" w:firstLine="360"/>
        <w:rPr>
          <w:rFonts w:ascii="Arial" w:eastAsia="Arial" w:hAnsi="Arial" w:cs="Arial"/>
        </w:rPr>
      </w:pPr>
      <w:bookmarkStart w:id="3" w:name="_BILL_SECTION_HEADER__8cf01ca5_6090_4555"/>
      <w:bookmarkStart w:id="4" w:name="_PAR__2_ae0d3a6c_c8bf_450d_8eb1_cd25cc71"/>
      <w:bookmarkStart w:id="5" w:name="_BILL_SECTION__e4c62713_90b0_441b_97f7_2"/>
      <w:bookmarkStart w:id="6" w:name="_DOC_BODY_CONTENT__24739b44_19e7_4875_9c"/>
      <w:bookmarkEnd w:id="0"/>
      <w:bookmarkEnd w:id="1"/>
      <w:r>
        <w:rPr>
          <w:rFonts w:ascii="Arial" w:eastAsia="Arial" w:hAnsi="Arial" w:cs="Arial"/>
          <w:b/>
          <w:sz w:val="24"/>
        </w:rPr>
        <w:t xml:space="preserve">Sec. </w:t>
      </w:r>
      <w:bookmarkStart w:id="7" w:name="_BILL_SECTION_NUMBER__e5652ac4_6d53_4c98"/>
      <w:r>
        <w:rPr>
          <w:rFonts w:ascii="Arial" w:eastAsia="Arial" w:hAnsi="Arial" w:cs="Arial"/>
          <w:b/>
          <w:sz w:val="24"/>
        </w:rPr>
        <w:t>1</w:t>
      </w:r>
      <w:bookmarkEnd w:id="7"/>
      <w:r>
        <w:rPr>
          <w:rFonts w:ascii="Arial" w:eastAsia="Arial" w:hAnsi="Arial" w:cs="Arial"/>
          <w:b/>
          <w:sz w:val="24"/>
        </w:rPr>
        <w:t>.  3 MRSA §2, 2nd ¶,</w:t>
      </w:r>
      <w:r>
        <w:rPr>
          <w:rFonts w:ascii="Arial" w:eastAsia="Arial" w:hAnsi="Arial" w:cs="Arial"/>
        </w:rPr>
        <w:t xml:space="preserve"> as amended by PL 2019, c. 475, §11, is further amended to read:</w:t>
      </w:r>
    </w:p>
    <w:p w:rsidR="00000000" w:rsidP="00477C25">
      <w:pPr>
        <w:ind w:left="360" w:firstLine="360"/>
        <w:rPr>
          <w:rFonts w:ascii="Arial" w:eastAsia="Arial" w:hAnsi="Arial" w:cs="Arial"/>
        </w:rPr>
      </w:pPr>
      <w:bookmarkStart w:id="8" w:name="_STATUTE_CONTENT__c2664d8f_f369_4abf_a84"/>
      <w:bookmarkStart w:id="9" w:name="_STATUTE_P__1caaf0dd_70f7_49a9_9583_38a2"/>
      <w:bookmarkStart w:id="10" w:name="_PAR__3_ba4b745b_6145_47aa_8651_286a0601"/>
      <w:bookmarkEnd w:id="3"/>
      <w:bookmarkEnd w:id="4"/>
      <w:r>
        <w:rPr>
          <w:rFonts w:ascii="Arial" w:eastAsia="Arial" w:hAnsi="Arial" w:cs="Arial"/>
        </w:rPr>
        <w:t xml:space="preserve">The first regular session of the Legislature, after its convening,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 not</w:t>
      </w:r>
      <w:r>
        <w:rPr>
          <w:rFonts w:ascii="Arial" w:eastAsia="Arial" w:hAnsi="Arial" w:cs="Arial"/>
        </w:rPr>
        <w:t xml:space="preserve"> adjourn </w:t>
      </w:r>
      <w:r>
        <w:rPr>
          <w:rFonts w:ascii="Arial" w:eastAsia="Arial" w:hAnsi="Arial" w:cs="Arial"/>
          <w:strike/>
        </w:rPr>
        <w:t>no</w:t>
      </w:r>
      <w:r>
        <w:rPr>
          <w:rFonts w:ascii="Arial" w:eastAsia="Arial" w:hAnsi="Arial" w:cs="Arial"/>
        </w:rPr>
        <w:t xml:space="preserve"> later than the 3rd Wednesday in June and the 2nd regular session of the Legislature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 not</w:t>
      </w:r>
      <w:r>
        <w:rPr>
          <w:rFonts w:ascii="Arial" w:eastAsia="Arial" w:hAnsi="Arial" w:cs="Arial"/>
        </w:rPr>
        <w:t xml:space="preserve"> adjourn </w:t>
      </w:r>
      <w:r>
        <w:rPr>
          <w:rFonts w:ascii="Arial" w:eastAsia="Arial" w:hAnsi="Arial" w:cs="Arial"/>
          <w:strike/>
        </w:rPr>
        <w:t>no</w:t>
      </w:r>
      <w:r>
        <w:rPr>
          <w:rFonts w:ascii="Arial" w:eastAsia="Arial" w:hAnsi="Arial" w:cs="Arial"/>
        </w:rPr>
        <w:t xml:space="preserve"> later than the 3rd Wednesday in April. The Legislature, in case of emergency, may by </w:t>
      </w:r>
      <w:r>
        <w:rPr>
          <w:rFonts w:ascii="Arial" w:eastAsia="Arial" w:hAnsi="Arial" w:cs="Arial"/>
          <w:strike/>
        </w:rPr>
        <w:t>a</w:t>
      </w:r>
      <w:r>
        <w:rPr>
          <w:rFonts w:ascii="Arial" w:eastAsia="Arial" w:hAnsi="Arial" w:cs="Arial"/>
        </w:rPr>
        <w:t xml:space="preserve"> </w:t>
      </w:r>
      <w:r>
        <w:rPr>
          <w:rFonts w:ascii="Arial" w:eastAsia="Arial" w:hAnsi="Arial" w:cs="Arial"/>
          <w:u w:val="single"/>
        </w:rPr>
        <w:t>the affirmative</w:t>
      </w:r>
      <w:r>
        <w:rPr>
          <w:rFonts w:ascii="Arial" w:eastAsia="Arial" w:hAnsi="Arial" w:cs="Arial"/>
        </w:rPr>
        <w:t xml:space="preserve"> vote of </w:t>
      </w:r>
      <w:r>
        <w:rPr>
          <w:rFonts w:ascii="Arial" w:eastAsia="Arial" w:hAnsi="Arial" w:cs="Arial"/>
          <w:strike/>
        </w:rPr>
        <w:t>2/3</w:t>
      </w:r>
      <w:r>
        <w:rPr>
          <w:rFonts w:ascii="Arial" w:eastAsia="Arial" w:hAnsi="Arial" w:cs="Arial"/>
        </w:rPr>
        <w:t xml:space="preserve"> </w:t>
      </w:r>
      <w:r>
        <w:rPr>
          <w:rFonts w:ascii="Arial" w:eastAsia="Arial" w:hAnsi="Arial" w:cs="Arial"/>
          <w:u w:val="single"/>
        </w:rPr>
        <w:t>a majority</w:t>
      </w:r>
      <w:r>
        <w:rPr>
          <w:rFonts w:ascii="Arial" w:eastAsia="Arial" w:hAnsi="Arial" w:cs="Arial"/>
        </w:rPr>
        <w:t xml:space="preserve"> of the members of each House present and voting, extend the date for adjournment for the first or 2nd regular session by no more than 5 legislative days, and in case of further emergency, may by </w:t>
      </w:r>
      <w:r>
        <w:rPr>
          <w:rFonts w:ascii="Arial" w:eastAsia="Arial" w:hAnsi="Arial" w:cs="Arial"/>
          <w:strike/>
        </w:rPr>
        <w:t>a</w:t>
      </w:r>
      <w:r>
        <w:rPr>
          <w:rFonts w:ascii="Arial" w:eastAsia="Arial" w:hAnsi="Arial" w:cs="Arial"/>
        </w:rPr>
        <w:t xml:space="preserve"> </w:t>
      </w:r>
      <w:r>
        <w:rPr>
          <w:rFonts w:ascii="Arial" w:eastAsia="Arial" w:hAnsi="Arial" w:cs="Arial"/>
          <w:u w:val="single"/>
        </w:rPr>
        <w:t>the affirmative</w:t>
      </w:r>
      <w:r>
        <w:rPr>
          <w:rFonts w:ascii="Arial" w:eastAsia="Arial" w:hAnsi="Arial" w:cs="Arial"/>
        </w:rPr>
        <w:t xml:space="preserve"> vote of </w:t>
      </w:r>
      <w:r>
        <w:rPr>
          <w:rFonts w:ascii="Arial" w:eastAsia="Arial" w:hAnsi="Arial" w:cs="Arial"/>
          <w:strike/>
        </w:rPr>
        <w:t>2/3</w:t>
      </w:r>
      <w:r>
        <w:rPr>
          <w:rFonts w:ascii="Arial" w:eastAsia="Arial" w:hAnsi="Arial" w:cs="Arial"/>
        </w:rPr>
        <w:t xml:space="preserve"> </w:t>
      </w:r>
      <w:r>
        <w:rPr>
          <w:rFonts w:ascii="Arial" w:eastAsia="Arial" w:hAnsi="Arial" w:cs="Arial"/>
          <w:u w:val="single"/>
        </w:rPr>
        <w:t>a majority</w:t>
      </w:r>
      <w:r>
        <w:rPr>
          <w:rFonts w:ascii="Arial" w:eastAsia="Arial" w:hAnsi="Arial" w:cs="Arial"/>
        </w:rPr>
        <w:t xml:space="preserve"> of the members of each House present and voting, further extend the date for adjournment by 5 additional legislative days. The times for adjournment for the first and 2nd regular sessions may also be extended for one additional legislative day for the purpose of considering possible objections of the Governor to any bill or resolution presented to the Governor by the Legislature under the Constitution of Maine, Article IV, Part Third, Section 2.</w:t>
      </w:r>
      <w:bookmarkEnd w:id="8"/>
      <w:bookmarkEnd w:id="2"/>
      <w:bookmarkEnd w:id="5"/>
      <w:bookmarkEnd w:id="6"/>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LR1486,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Voting Requirement to Extend the Date for Adjournment of the Legislature</w:t>
    </w:r>
  </w:p>
  <w:p>
    <w:pPr>
      <w:suppressLineNumbers/>
      <w:spacing w:before="0" w:after="0"/>
      <w:jc w:val="center"/>
      <w:rPr>
        <w:rFonts w:ascii="Arial" w:eastAsia="Arial" w:hAnsi="Arial" w:cs="Arial"/>
      </w:rPr>
    </w:pPr>
    <w:r>
      <w:rPr>
        <w:rFonts w:ascii="Arial" w:eastAsia="Arial" w:hAnsi="Arial" w:cs="Arial"/>
        <w:sz w:val="22"/>
      </w:rPr>
      <w:t>L.D. 1668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77C25"/>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