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Prioritize the Prosecution of Child Homicide Cases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618 - L.D. 1857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Prioritize the Prosecution of Child Homicide Cases</w:t>
      </w:r>
    </w:p>
    <w:p w:rsidR="00091876" w:rsidP="00091876">
      <w:pPr>
        <w:ind w:left="360"/>
        <w:rPr>
          <w:rFonts w:ascii="Arial" w:eastAsia="Arial" w:hAnsi="Arial" w:cs="Arial"/>
        </w:rPr>
      </w:pPr>
      <w:bookmarkStart w:id="0" w:name="_ENACTING_CLAUSE__35227efc_c13a_4e98_807"/>
      <w:bookmarkStart w:id="1" w:name="_PAR__1_3f8c941c_22a4_4a60_88e5_d65bcffb"/>
      <w:bookmarkStart w:id="2" w:name="_DOC_BODY_CONTAINER__96cb8289_63f4_4381_"/>
      <w:r>
        <w:rPr>
          <w:rFonts w:ascii="Arial" w:eastAsia="Arial" w:hAnsi="Arial" w:cs="Arial"/>
          <w:b/>
        </w:rPr>
        <w:t>Be it enacted by the People of the State of Maine as follows:</w:t>
      </w:r>
    </w:p>
    <w:p w:rsidR="00000000" w:rsidP="00091876">
      <w:pPr>
        <w:ind w:left="360" w:firstLine="360"/>
        <w:rPr>
          <w:rFonts w:ascii="Arial" w:eastAsia="Arial" w:hAnsi="Arial" w:cs="Arial"/>
        </w:rPr>
      </w:pPr>
      <w:bookmarkStart w:id="3" w:name="_BILL_SECTION_UNALLOCATED__177d4707_907a"/>
      <w:bookmarkStart w:id="4" w:name="_PAR__4_ebc686b7_c7da_4992_aaa3_5a04ecb6"/>
      <w:bookmarkStart w:id="5" w:name="_DOC_BODY_CONTENT__7f5daa6e_d5ed_4d06_9a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612f2331_2fc2_4f96"/>
      <w:r>
        <w:rPr>
          <w:rFonts w:ascii="Arial" w:eastAsia="Arial" w:hAnsi="Arial" w:cs="Arial"/>
          <w:b/>
          <w:sz w:val="24"/>
        </w:rPr>
        <w:t>1</w:t>
      </w:r>
      <w:bookmarkEnd w:id="6"/>
      <w:r>
        <w:rPr>
          <w:rFonts w:ascii="Arial" w:eastAsia="Arial" w:hAnsi="Arial" w:cs="Arial"/>
          <w:b/>
          <w:sz w:val="24"/>
        </w:rPr>
        <w:t>. Request.</w:t>
      </w:r>
      <w:r>
        <w:rPr>
          <w:rFonts w:ascii="Arial" w:eastAsia="Arial" w:hAnsi="Arial" w:cs="Arial"/>
        </w:rPr>
        <w:t xml:space="preserve"> The Attorney General shall send a formal request to the appropriate members of the judicial branch that those members give priority in scheduling to </w:t>
      </w:r>
      <w:bookmarkStart w:id="7" w:name="_ENGROSSING_REV__0b977d56_3e84_49ef_ad93"/>
      <w:bookmarkStart w:id="8" w:name="_REV__d98e5255_cca9_4416_87f3_cb681c9018"/>
      <w:bookmarkStart w:id="9" w:name="_PROCESSED_CHANGE__ea98d3d0_42d3_48ce_8e"/>
      <w:bookmarkEnd w:id="7"/>
      <w:r>
        <w:rPr>
          <w:rFonts w:ascii="Arial" w:eastAsia="Arial" w:hAnsi="Arial" w:cs="Arial"/>
        </w:rPr>
        <w:t>homicide</w:t>
      </w:r>
      <w:bookmarkEnd w:id="8"/>
      <w:bookmarkEnd w:id="9"/>
      <w:r>
        <w:rPr>
          <w:rFonts w:ascii="Arial" w:eastAsia="Arial" w:hAnsi="Arial" w:cs="Arial"/>
        </w:rPr>
        <w:t xml:space="preserve"> cases in which the victim is a person who has not attained 18 years of age. </w:t>
      </w:r>
      <w:bookmarkEnd w:id="2"/>
      <w:bookmarkEnd w:id="3"/>
      <w:bookmarkEnd w:id="4"/>
      <w:bookmarkEnd w:id="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LR2134,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Prioritize the Prosecution of Child Homicide Cases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1857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91876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