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Authorizing the Maine National Guard To Sell Certain Property in Hallowell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602 - L.D. 1852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 xml:space="preserve">Resolve, Authorizing the Maine National Guard To Sell Certain Property in Hallowell </w:t>
      </w:r>
    </w:p>
    <w:p w:rsidR="00D847D6" w:rsidP="00D847D6">
      <w:pPr>
        <w:ind w:left="360" w:firstLine="360"/>
        <w:rPr>
          <w:rFonts w:ascii="Arial" w:eastAsia="Arial" w:hAnsi="Arial" w:cs="Arial"/>
        </w:rPr>
      </w:pPr>
      <w:bookmarkStart w:id="0" w:name="_BILL_SECTION_UNALLOCATED__adffec53_9b4e"/>
      <w:bookmarkStart w:id="1" w:name="_INSTRUCTION__d7c46d3c_40c7_4a4d_b6e0_0f"/>
      <w:bookmarkStart w:id="2" w:name="_DOC_BODY_CONTENT__0c2d6d69_e1e6_41c1_98"/>
      <w:bookmarkStart w:id="3" w:name="_DOC_BODY_CONTAINER__7ae081e4_64b4_458a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e293e577_a606_403a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4F7D28">
        <w:rPr>
          <w:rFonts w:ascii="Arial" w:eastAsia="Arial" w:hAnsi="Arial" w:cs="Arial"/>
          <w:b/>
          <w:sz w:val="24"/>
          <w:szCs w:val="24"/>
        </w:rPr>
        <w:t>Granite Hill Road property in</w:t>
      </w:r>
      <w:r>
        <w:rPr>
          <w:rFonts w:ascii="Arial" w:eastAsia="Arial" w:hAnsi="Arial" w:cs="Arial"/>
          <w:b/>
          <w:sz w:val="24"/>
          <w:szCs w:val="24"/>
        </w:rPr>
        <w:t xml:space="preserve"> City of</w:t>
      </w:r>
      <w:r w:rsidRPr="004F7D28">
        <w:rPr>
          <w:rFonts w:ascii="Arial" w:eastAsia="Arial" w:hAnsi="Arial" w:cs="Arial"/>
          <w:b/>
          <w:sz w:val="24"/>
          <w:szCs w:val="24"/>
        </w:rPr>
        <w:t xml:space="preserve"> Hallowell; transfer authorized.  Resolved:</w:t>
      </w:r>
      <w:r w:rsidRPr="004F7D28">
        <w:rPr>
          <w:rFonts w:ascii="Arial" w:eastAsia="Arial" w:hAnsi="Arial" w:cs="Arial"/>
        </w:rPr>
        <w:t xml:space="preserve"> That, in accordance with the Maine Revised Statutes, Title 37</w:t>
      </w:r>
      <w:r>
        <w:rPr>
          <w:rFonts w:ascii="Arial" w:eastAsia="Arial" w:hAnsi="Arial" w:cs="Arial"/>
        </w:rPr>
        <w:noBreakHyphen/>
      </w:r>
      <w:r w:rsidRPr="004F7D28">
        <w:rPr>
          <w:rFonts w:ascii="Arial" w:eastAsia="Arial" w:hAnsi="Arial" w:cs="Arial"/>
        </w:rPr>
        <w:t>B, section 264, the Adjutant General may sell the</w:t>
      </w:r>
      <w:r>
        <w:rPr>
          <w:rFonts w:ascii="Arial" w:eastAsia="Arial" w:hAnsi="Arial" w:cs="Arial"/>
        </w:rPr>
        <w:t xml:space="preserve"> </w:t>
      </w:r>
      <w:r w:rsidRPr="004F7D28">
        <w:rPr>
          <w:rFonts w:ascii="Arial" w:eastAsia="Arial" w:hAnsi="Arial" w:cs="Arial"/>
        </w:rPr>
        <w:t>parcel of land located off Granite Hill Road in</w:t>
      </w:r>
      <w:r>
        <w:rPr>
          <w:rFonts w:ascii="Arial" w:eastAsia="Arial" w:hAnsi="Arial" w:cs="Arial"/>
        </w:rPr>
        <w:t xml:space="preserve"> the City of</w:t>
      </w:r>
      <w:r w:rsidRPr="004F7D28">
        <w:rPr>
          <w:rFonts w:ascii="Arial" w:eastAsia="Arial" w:hAnsi="Arial" w:cs="Arial"/>
        </w:rPr>
        <w:t xml:space="preserve"> Hallowell</w:t>
      </w:r>
      <w:r>
        <w:rPr>
          <w:rFonts w:ascii="Arial" w:eastAsia="Arial" w:hAnsi="Arial" w:cs="Arial"/>
        </w:rPr>
        <w:t xml:space="preserve"> </w:t>
      </w:r>
      <w:r w:rsidRPr="004F7D28">
        <w:rPr>
          <w:rFonts w:ascii="Arial" w:eastAsia="Arial" w:hAnsi="Arial" w:cs="Arial"/>
        </w:rPr>
        <w:t>identified on Hallowell tax map</w:t>
      </w:r>
      <w:r>
        <w:rPr>
          <w:rFonts w:ascii="Arial" w:eastAsia="Arial" w:hAnsi="Arial" w:cs="Arial"/>
        </w:rPr>
        <w:t xml:space="preserve"> 019 as lot 023 </w:t>
      </w:r>
      <w:r w:rsidRPr="004F7D28">
        <w:rPr>
          <w:rFonts w:ascii="Arial" w:eastAsia="Arial" w:hAnsi="Arial" w:cs="Arial"/>
        </w:rPr>
        <w:t xml:space="preserve">and recorded in the Kennebec County Registry </w:t>
      </w:r>
      <w:r>
        <w:rPr>
          <w:rFonts w:ascii="Arial" w:eastAsia="Arial" w:hAnsi="Arial" w:cs="Arial"/>
        </w:rPr>
        <w:t xml:space="preserve">of Deeds </w:t>
      </w:r>
      <w:r w:rsidRPr="004F7D28">
        <w:rPr>
          <w:rFonts w:ascii="Arial" w:eastAsia="Arial" w:hAnsi="Arial" w:cs="Arial"/>
        </w:rPr>
        <w:t>as follows:</w:t>
      </w:r>
    </w:p>
    <w:p w:rsidR="00D847D6" w:rsidP="00D847D6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 Book 738, Page 111, approximately 4.15 acres from Cyr to the State of Maine dated October 30, 1937;</w:t>
      </w:r>
    </w:p>
    <w:p w:rsidR="00D847D6" w:rsidP="00D847D6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 Book 738, Page 112, approximately 0.5 acre from Gillie to the State of Maine dated November 5, 1937; and</w:t>
      </w:r>
    </w:p>
    <w:p w:rsidR="00D847D6" w:rsidP="00D847D6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 Book 738, Page 113, approximately 2.3 acres from Lord to the State of Maine dated October of 1937.</w:t>
      </w:r>
    </w:p>
    <w:p w:rsidR="00000000" w:rsidP="00D847D6">
      <w:pPr>
        <w:rPr>
          <w:rFonts w:ascii="Arial" w:eastAsia="Arial" w:hAnsi="Arial" w:cs="Arial"/>
        </w:rPr>
      </w:pPr>
      <w:r w:rsidRPr="004F7D28">
        <w:rPr>
          <w:rFonts w:ascii="Arial" w:eastAsia="Arial" w:hAnsi="Arial" w:cs="Arial"/>
        </w:rPr>
        <w:t>The sale may be accomplished by means of a quitclaim deed, as long as the City of Hallowell agrees to indemnify and hold harmless the State from all claims, including any environmental clean-up costs that may arise in connection with the land.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LR2121,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Authorizing the Maine National Guard To Sell Certain Property in Hallowell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1852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F7D2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847D6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