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Maine Connectivity Authority To Take Further Actions To Bring High-speed Broadband to Unserved Areas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368 - L.D. 1107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Directing the Maine Connectivity Authority To Take Further Actions To Bring High-speed Broadband to Unserved Areas</w:t>
      </w:r>
    </w:p>
    <w:p w:rsidR="001172D8" w:rsidP="001172D8">
      <w:pPr>
        <w:ind w:left="360" w:firstLine="360"/>
        <w:rPr>
          <w:rFonts w:ascii="Arial" w:eastAsia="Arial" w:hAnsi="Arial" w:cs="Arial"/>
        </w:rPr>
      </w:pPr>
      <w:bookmarkStart w:id="0" w:name="_BILL_SECTION_UNALLOCATED__998b4955_9a63"/>
      <w:bookmarkStart w:id="1" w:name="_INSTRUCTION__3ddd301c_48c6_4a02_b337_51"/>
      <w:bookmarkStart w:id="2" w:name="_DOC_BODY_CONTENT__9d99c3c3_ee77_4197_8c"/>
      <w:bookmarkStart w:id="3" w:name="_DOC_BODY_CONTAINER__9070eedf_fe83_48a7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e9b3d6be_79af_4114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CC6524">
        <w:rPr>
          <w:rFonts w:ascii="Arial" w:eastAsia="Arial" w:hAnsi="Arial" w:cs="Arial"/>
          <w:b/>
          <w:sz w:val="24"/>
          <w:szCs w:val="24"/>
        </w:rPr>
        <w:t>Regional partnership strategies</w:t>
      </w:r>
      <w:r>
        <w:rPr>
          <w:rFonts w:ascii="Arial" w:eastAsia="Arial" w:hAnsi="Arial" w:cs="Arial"/>
          <w:b/>
          <w:sz w:val="24"/>
          <w:szCs w:val="24"/>
        </w:rPr>
        <w:t>.</w:t>
      </w:r>
      <w:r w:rsidRPr="00CC6524">
        <w:rPr>
          <w:rFonts w:ascii="Arial" w:eastAsia="Arial" w:hAnsi="Arial" w:cs="Arial"/>
          <w:b/>
          <w:sz w:val="24"/>
          <w:szCs w:val="24"/>
        </w:rPr>
        <w:t xml:space="preserve"> Resolved:</w:t>
      </w:r>
      <w:r w:rsidRPr="00A67AB9">
        <w:rPr>
          <w:rFonts w:ascii="Arial" w:eastAsia="Arial" w:hAnsi="Arial" w:cs="Arial"/>
        </w:rPr>
        <w:t xml:space="preserve"> That the Maine Connectivity Authority</w:t>
      </w:r>
      <w:r>
        <w:rPr>
          <w:rFonts w:ascii="Arial" w:eastAsia="Arial" w:hAnsi="Arial" w:cs="Arial"/>
        </w:rPr>
        <w:t>, established in the Maine Revised Statutes, Title 35-A, section 9404 and referred to in this resolve as "the authority,"</w:t>
      </w:r>
      <w:r w:rsidRPr="00A67AB9">
        <w:rPr>
          <w:rFonts w:ascii="Arial" w:eastAsia="Arial" w:hAnsi="Arial" w:cs="Arial"/>
        </w:rPr>
        <w:t xml:space="preserve"> shall seek to encourage and support regional partnerships among appropriate entities to identify and implement strategies to bring high</w:t>
      </w:r>
      <w:r>
        <w:rPr>
          <w:rFonts w:ascii="Arial" w:eastAsia="Arial" w:hAnsi="Arial" w:cs="Arial"/>
        </w:rPr>
        <w:t>-</w:t>
      </w:r>
      <w:r w:rsidRPr="00A67AB9">
        <w:rPr>
          <w:rFonts w:ascii="Arial" w:eastAsia="Arial" w:hAnsi="Arial" w:cs="Arial"/>
        </w:rPr>
        <w:t>speed broadband to unserved areas of the State.  The strategies must involve approaches and models that recognize and address population densities and the high cost of providing service to low</w:t>
      </w:r>
      <w:r>
        <w:rPr>
          <w:rFonts w:ascii="Arial" w:eastAsia="Arial" w:hAnsi="Arial" w:cs="Arial"/>
        </w:rPr>
        <w:t>-</w:t>
      </w:r>
      <w:r w:rsidRPr="00A67AB9">
        <w:rPr>
          <w:rFonts w:ascii="Arial" w:eastAsia="Arial" w:hAnsi="Arial" w:cs="Arial"/>
        </w:rPr>
        <w:t>density areas; ensure the inclusion of services to all individuals and communities, including the most disadvantaged populations, within the area, commonly referred to as “digital inclusion”; and ensure the capacity of relevant communities to undertake a comprehensive approach to bringing broadband to the area.  The strategies must involve consideration of requirements to receive available funding for expanding high</w:t>
      </w:r>
      <w:r>
        <w:rPr>
          <w:rFonts w:ascii="Arial" w:eastAsia="Arial" w:hAnsi="Arial" w:cs="Arial"/>
        </w:rPr>
        <w:t>-</w:t>
      </w:r>
      <w:r w:rsidRPr="00A67AB9">
        <w:rPr>
          <w:rFonts w:ascii="Arial" w:eastAsia="Arial" w:hAnsi="Arial" w:cs="Arial"/>
        </w:rPr>
        <w:t>speed broadband connectivity as well as the critical nature of providing the connectivity in a time</w:t>
      </w:r>
      <w:r>
        <w:rPr>
          <w:rFonts w:ascii="Arial" w:eastAsia="Arial" w:hAnsi="Arial" w:cs="Arial"/>
        </w:rPr>
        <w:t xml:space="preserve"> </w:t>
      </w:r>
      <w:r w:rsidRPr="00A67AB9">
        <w:rPr>
          <w:rFonts w:ascii="Arial" w:eastAsia="Arial" w:hAnsi="Arial" w:cs="Arial"/>
        </w:rPr>
        <w:t>frame that meets the needs of the area.</w:t>
      </w:r>
    </w:p>
    <w:p w:rsidR="00000000" w:rsidP="001172D8">
      <w:pPr>
        <w:ind w:left="360" w:firstLine="360"/>
        <w:rPr>
          <w:rFonts w:ascii="Arial" w:eastAsia="Arial" w:hAnsi="Arial" w:cs="Arial"/>
        </w:rPr>
      </w:pPr>
      <w:bookmarkStart w:id="5" w:name="_BILL_SECTION_UNALLOCATED__3e3cb8f4_d927"/>
      <w:bookmarkEnd w:id="0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5a22e61a_2504_4faf"/>
      <w:r>
        <w:rPr>
          <w:rFonts w:ascii="Arial" w:eastAsia="Arial" w:hAnsi="Arial" w:cs="Arial"/>
          <w:b/>
          <w:sz w:val="24"/>
        </w:rPr>
        <w:t>2</w:t>
      </w:r>
      <w:bookmarkEnd w:id="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CC6524">
        <w:rPr>
          <w:rFonts w:ascii="Arial" w:eastAsia="Arial" w:hAnsi="Arial" w:cs="Arial"/>
          <w:b/>
          <w:sz w:val="24"/>
          <w:szCs w:val="24"/>
        </w:rPr>
        <w:t>Reports. Resolved:</w:t>
      </w:r>
      <w:r w:rsidRPr="00A67AB9">
        <w:rPr>
          <w:rFonts w:ascii="Arial" w:eastAsia="Arial" w:hAnsi="Arial" w:cs="Arial"/>
        </w:rPr>
        <w:t xml:space="preserve"> Th</w:t>
      </w:r>
      <w:r>
        <w:rPr>
          <w:rFonts w:ascii="Arial" w:eastAsia="Arial" w:hAnsi="Arial" w:cs="Arial"/>
        </w:rPr>
        <w:t>at th</w:t>
      </w:r>
      <w:r w:rsidRPr="00A67AB9"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</w:rPr>
        <w:t>a</w:t>
      </w:r>
      <w:r w:rsidRPr="00A67AB9">
        <w:rPr>
          <w:rFonts w:ascii="Arial" w:eastAsia="Arial" w:hAnsi="Arial" w:cs="Arial"/>
        </w:rPr>
        <w:t>uthority shall, by January 15, 2023, report to the joint standing committee of the Legislature having jurisdiction over energy, utilities and technology</w:t>
      </w:r>
      <w:r>
        <w:rPr>
          <w:rFonts w:ascii="Arial" w:eastAsia="Arial" w:hAnsi="Arial" w:cs="Arial"/>
        </w:rPr>
        <w:t xml:space="preserve"> matters</w:t>
      </w:r>
      <w:r w:rsidRPr="00A67AB9">
        <w:rPr>
          <w:rFonts w:ascii="Arial" w:eastAsia="Arial" w:hAnsi="Arial" w:cs="Arial"/>
        </w:rPr>
        <w:t xml:space="preserve"> any federally approved plans for funding the activities described in </w:t>
      </w:r>
      <w:r>
        <w:rPr>
          <w:rFonts w:ascii="Arial" w:eastAsia="Arial" w:hAnsi="Arial" w:cs="Arial"/>
        </w:rPr>
        <w:t>s</w:t>
      </w:r>
      <w:r w:rsidRPr="00A67AB9">
        <w:rPr>
          <w:rFonts w:ascii="Arial" w:eastAsia="Arial" w:hAnsi="Arial" w:cs="Arial"/>
        </w:rPr>
        <w:t>ection 1, including from the United States Department of the Treasury’s Capital Projects Fund or the</w:t>
      </w:r>
      <w:r>
        <w:rPr>
          <w:rFonts w:ascii="Arial" w:eastAsia="Arial" w:hAnsi="Arial" w:cs="Arial"/>
        </w:rPr>
        <w:t xml:space="preserve"> United States Department of Commerce,</w:t>
      </w:r>
      <w:r w:rsidRPr="00A67AB9">
        <w:rPr>
          <w:rFonts w:ascii="Arial" w:eastAsia="Arial" w:hAnsi="Arial" w:cs="Arial"/>
        </w:rPr>
        <w:t xml:space="preserve"> National Telecommunications and Information Administration’s Broadband Equity, Access, and Deployment </w:t>
      </w:r>
      <w:r>
        <w:rPr>
          <w:rFonts w:ascii="Arial" w:eastAsia="Arial" w:hAnsi="Arial" w:cs="Arial"/>
        </w:rPr>
        <w:t>P</w:t>
      </w:r>
      <w:r w:rsidRPr="00A67AB9">
        <w:rPr>
          <w:rFonts w:ascii="Arial" w:eastAsia="Arial" w:hAnsi="Arial" w:cs="Arial"/>
        </w:rPr>
        <w:t xml:space="preserve">rogram funded by the </w:t>
      </w:r>
      <w:r>
        <w:rPr>
          <w:rFonts w:ascii="Arial" w:eastAsia="Arial" w:hAnsi="Arial" w:cs="Arial"/>
        </w:rPr>
        <w:t>federal</w:t>
      </w:r>
      <w:r w:rsidRPr="00A67AB9">
        <w:rPr>
          <w:rFonts w:ascii="Arial" w:eastAsia="Arial" w:hAnsi="Arial" w:cs="Arial"/>
        </w:rPr>
        <w:t xml:space="preserve"> Infrastructure Investment and Jobs Act.</w:t>
      </w:r>
      <w:bookmarkEnd w:id="1"/>
      <w:bookmarkEnd w:id="2"/>
      <w:bookmarkEnd w:id="3"/>
      <w:bookmarkEnd w:id="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LR0328,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Maine Connectivity Authority To Take Further Actions To Bring High-speed Broadband to Unserved Areas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1107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172D8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67AB9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C6524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