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the Continued Access to Solar Energy and Battery Storage by Maine Homes and Businesses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361 - L.D. 1100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the Continued Access to Solar Energy and Battery Storage by Maine Homes and Businesses</w:t>
      </w:r>
    </w:p>
    <w:p w:rsidR="00A24C3D" w:rsidP="00A24C3D">
      <w:pPr>
        <w:ind w:left="360"/>
        <w:rPr>
          <w:rFonts w:ascii="Arial" w:eastAsia="Arial" w:hAnsi="Arial" w:cs="Arial"/>
        </w:rPr>
      </w:pPr>
      <w:bookmarkStart w:id="0" w:name="_ENACTING_CLAUSE__3a27e387_0841_47eb_910"/>
      <w:bookmarkStart w:id="1" w:name="_PAR__1_88386568_812d_4436_889a_250d23d5"/>
      <w:bookmarkStart w:id="2" w:name="_DOC_BODY_CONTAINER__e5d78f69_218b_42c6_"/>
      <w:r>
        <w:rPr>
          <w:rFonts w:ascii="Arial" w:eastAsia="Arial" w:hAnsi="Arial" w:cs="Arial"/>
          <w:b/>
        </w:rPr>
        <w:t>Be it enacted by the People of the State of Maine as follows:</w:t>
      </w:r>
    </w:p>
    <w:p w:rsidR="00A24C3D" w:rsidP="00A24C3D">
      <w:pPr>
        <w:ind w:left="360" w:firstLine="360"/>
        <w:rPr>
          <w:rFonts w:ascii="Arial" w:eastAsia="Arial" w:hAnsi="Arial" w:cs="Arial"/>
        </w:rPr>
      </w:pPr>
      <w:bookmarkStart w:id="3" w:name="_BILL_SECTION_HEADER__d81ed063_dd08_4f5a"/>
      <w:bookmarkStart w:id="4" w:name="_PAR__2_df4d389c_9e58_4c65_930c_e28f20c6"/>
      <w:bookmarkStart w:id="5" w:name="_BILL_SECTION__202e2858_8b14_4ac7_8ad0_1"/>
      <w:bookmarkStart w:id="6" w:name="_DOC_BODY_CONTENT__4d8cb3ad_8b07_49e6_8f"/>
      <w:bookmarkEnd w:id="0"/>
      <w:bookmarkEnd w:id="1"/>
      <w:r>
        <w:rPr>
          <w:rFonts w:ascii="Arial" w:eastAsia="Arial" w:hAnsi="Arial" w:cs="Arial"/>
          <w:b/>
          <w:sz w:val="24"/>
        </w:rPr>
        <w:t xml:space="preserve">Sec. </w:t>
      </w:r>
      <w:bookmarkStart w:id="7" w:name="_BILL_SECTION_NUMBER__a932497c_cab8_4385"/>
      <w:r>
        <w:rPr>
          <w:rFonts w:ascii="Arial" w:eastAsia="Arial" w:hAnsi="Arial" w:cs="Arial"/>
          <w:b/>
          <w:sz w:val="24"/>
        </w:rPr>
        <w:t>1</w:t>
      </w:r>
      <w:bookmarkEnd w:id="7"/>
      <w:r>
        <w:rPr>
          <w:rFonts w:ascii="Arial" w:eastAsia="Arial" w:hAnsi="Arial" w:cs="Arial"/>
          <w:b/>
          <w:sz w:val="24"/>
        </w:rPr>
        <w:t>.  35-A MRSA §3474, sub-§3</w:t>
      </w:r>
      <w:r>
        <w:rPr>
          <w:rFonts w:ascii="Arial" w:eastAsia="Arial" w:hAnsi="Arial" w:cs="Arial"/>
        </w:rPr>
        <w:t xml:space="preserve"> is enacted to read:</w:t>
      </w:r>
    </w:p>
    <w:p w:rsidR="00A24C3D" w:rsidP="00A24C3D">
      <w:pPr>
        <w:ind w:left="360" w:firstLine="360"/>
        <w:rPr>
          <w:rFonts w:ascii="Arial" w:eastAsia="Arial" w:hAnsi="Arial" w:cs="Arial"/>
        </w:rPr>
      </w:pPr>
      <w:bookmarkStart w:id="8" w:name="_STATUTE_NUMBER__c67ac861_8758_477d_8290"/>
      <w:bookmarkStart w:id="9" w:name="_PAR__3_6ed71895_056e_4c2d_9f2c_954d2d06"/>
      <w:bookmarkStart w:id="10" w:name="_STATUTE_SS__56ed978d_e233_4b1b_9aa0_909"/>
      <w:bookmarkEnd w:id="3"/>
      <w:bookmarkEnd w:id="4"/>
      <w:r>
        <w:rPr>
          <w:rFonts w:ascii="Arial" w:eastAsia="Arial" w:hAnsi="Arial" w:cs="Arial"/>
          <w:b/>
          <w:u w:val="single"/>
        </w:rPr>
        <w:t>3</w:t>
      </w:r>
      <w:bookmarkEnd w:id="8"/>
      <w:r>
        <w:rPr>
          <w:rFonts w:ascii="Arial" w:eastAsia="Arial" w:hAnsi="Arial" w:cs="Arial"/>
          <w:b/>
          <w:u w:val="single"/>
        </w:rPr>
        <w:t xml:space="preserve">.  </w:t>
      </w:r>
      <w:bookmarkStart w:id="11" w:name="_STATUTE_HEADNOTE__58ed5656_20b8_47bb_83"/>
      <w:r>
        <w:rPr>
          <w:rFonts w:ascii="Arial" w:eastAsia="Arial" w:hAnsi="Arial" w:cs="Arial"/>
          <w:b/>
          <w:u w:val="single"/>
        </w:rPr>
        <w:t>I</w:t>
      </w:r>
      <w:r>
        <w:rPr>
          <w:rFonts w:ascii="Arial" w:eastAsia="Arial" w:hAnsi="Arial" w:cs="Arial"/>
          <w:b/>
          <w:u w:val="single"/>
        </w:rPr>
        <w:t xml:space="preserve">nterconnection rules. </w:t>
      </w:r>
      <w:r>
        <w:rPr>
          <w:rFonts w:ascii="Arial" w:eastAsia="Arial" w:hAnsi="Arial" w:cs="Arial"/>
          <w:u w:val="single"/>
        </w:rPr>
        <w:t xml:space="preserve"> </w:t>
      </w:r>
      <w:bookmarkStart w:id="12" w:name="_STATUTE_CONTENT__b0603f3b_7ff8_4f0b_a83"/>
      <w:bookmarkEnd w:id="11"/>
      <w:r>
        <w:rPr>
          <w:rFonts w:ascii="Arial" w:eastAsia="Arial" w:hAnsi="Arial" w:cs="Arial"/>
          <w:u w:val="single"/>
        </w:rPr>
        <w:t>The commission shall adopt rules related to the interconnection of renewable capacity resources</w:t>
      </w:r>
      <w:r>
        <w:rPr>
          <w:rFonts w:ascii="Arial" w:eastAsia="Arial" w:hAnsi="Arial" w:cs="Arial"/>
          <w:u w:val="single"/>
        </w:rPr>
        <w:t>, as defined in section 3210-C, subsection 1, paragraph E,</w:t>
      </w:r>
      <w:r>
        <w:rPr>
          <w:rFonts w:ascii="Arial" w:eastAsia="Arial" w:hAnsi="Arial" w:cs="Arial"/>
          <w:u w:val="single"/>
        </w:rPr>
        <w:t xml:space="preserve"> using solar power to investor-owned transmission and distribution utilities</w:t>
      </w:r>
      <w:r>
        <w:rPr>
          <w:rFonts w:ascii="Arial" w:eastAsia="Arial" w:hAnsi="Arial" w:cs="Arial"/>
          <w:u w:val="single"/>
        </w:rPr>
        <w:t>, as defined in section 3201</w:t>
      </w:r>
      <w:r>
        <w:rPr>
          <w:rFonts w:ascii="Arial" w:eastAsia="Arial" w:hAnsi="Arial" w:cs="Arial"/>
          <w:u w:val="single"/>
        </w:rPr>
        <w:t>, subsection 11-A,</w:t>
      </w:r>
      <w:r>
        <w:rPr>
          <w:rFonts w:ascii="Arial" w:eastAsia="Arial" w:hAnsi="Arial" w:cs="Arial"/>
          <w:u w:val="single"/>
        </w:rPr>
        <w:t xml:space="preserve"> in a manner that supports the goals in </w:t>
      </w:r>
      <w:r>
        <w:rPr>
          <w:rFonts w:ascii="Arial" w:eastAsia="Arial" w:hAnsi="Arial" w:cs="Arial"/>
          <w:u w:val="single"/>
        </w:rPr>
        <w:t xml:space="preserve">this </w:t>
      </w:r>
      <w:r>
        <w:rPr>
          <w:rFonts w:ascii="Arial" w:eastAsia="Arial" w:hAnsi="Arial" w:cs="Arial"/>
          <w:u w:val="single"/>
        </w:rPr>
        <w:t>section and ensures:</w:t>
      </w:r>
    </w:p>
    <w:p w:rsidR="00A24C3D" w:rsidP="00A24C3D">
      <w:pPr>
        <w:ind w:left="720"/>
        <w:rPr>
          <w:rFonts w:ascii="Arial" w:eastAsia="Arial" w:hAnsi="Arial" w:cs="Arial"/>
        </w:rPr>
      </w:pPr>
      <w:bookmarkStart w:id="13" w:name="_STATUTE_NUMBER__483438f6_1461_4baf_837e"/>
      <w:bookmarkStart w:id="14" w:name="_STATUTE_P__3dd70769_00f2_4b4a_aaa3_ea66"/>
      <w:bookmarkStart w:id="15" w:name="_PAR__4_96c9fbbf_7dbd_4485_a017_85d1f9c7"/>
      <w:bookmarkEnd w:id="9"/>
      <w:bookmarkEnd w:id="12"/>
      <w:r>
        <w:rPr>
          <w:rFonts w:ascii="Arial" w:eastAsia="Arial" w:hAnsi="Arial" w:cs="Arial"/>
          <w:u w:val="single"/>
        </w:rPr>
        <w:t>A</w:t>
      </w:r>
      <w:bookmarkEnd w:id="13"/>
      <w:r>
        <w:rPr>
          <w:rFonts w:ascii="Arial" w:eastAsia="Arial" w:hAnsi="Arial" w:cs="Arial"/>
          <w:u w:val="single"/>
        </w:rPr>
        <w:t xml:space="preserve">.  </w:t>
      </w:r>
      <w:bookmarkStart w:id="16" w:name="_STATUTE_CONTENT__9533e2b0_da69_407e_8f7"/>
      <w:r>
        <w:rPr>
          <w:rFonts w:ascii="Arial" w:eastAsia="Arial" w:hAnsi="Arial" w:cs="Arial"/>
          <w:u w:val="single"/>
        </w:rPr>
        <w:t>The State's interconnection rules reflect nationally</w:t>
      </w:r>
      <w:r>
        <w:rPr>
          <w:rFonts w:ascii="Arial" w:eastAsia="Arial" w:hAnsi="Arial" w:cs="Arial"/>
          <w:u w:val="single"/>
        </w:rPr>
        <w:t xml:space="preserve"> </w:t>
      </w:r>
      <w:r>
        <w:rPr>
          <w:rFonts w:ascii="Arial" w:eastAsia="Arial" w:hAnsi="Arial" w:cs="Arial"/>
          <w:u w:val="single"/>
        </w:rPr>
        <w:t>recognized best practices;</w:t>
      </w:r>
    </w:p>
    <w:p w:rsidR="00A24C3D" w:rsidP="00A24C3D">
      <w:pPr>
        <w:ind w:left="720"/>
        <w:rPr>
          <w:rFonts w:ascii="Arial" w:eastAsia="Arial" w:hAnsi="Arial" w:cs="Arial"/>
        </w:rPr>
      </w:pPr>
      <w:bookmarkStart w:id="17" w:name="_STATUTE_NUMBER__5878e43d_0d91_493e_9883"/>
      <w:bookmarkStart w:id="18" w:name="_STATUTE_P__70fd1643_7318_4af0_9c5c_949d"/>
      <w:bookmarkStart w:id="19" w:name="_PAR__5_8b374e8f_1f0d_4c7c_8203_a44f7d29"/>
      <w:bookmarkEnd w:id="14"/>
      <w:bookmarkEnd w:id="15"/>
      <w:bookmarkEnd w:id="16"/>
      <w:r>
        <w:rPr>
          <w:rFonts w:ascii="Arial" w:eastAsia="Arial" w:hAnsi="Arial" w:cs="Arial"/>
          <w:u w:val="single"/>
        </w:rPr>
        <w:t>B</w:t>
      </w:r>
      <w:bookmarkEnd w:id="17"/>
      <w:r>
        <w:rPr>
          <w:rFonts w:ascii="Arial" w:eastAsia="Arial" w:hAnsi="Arial" w:cs="Arial"/>
          <w:u w:val="single"/>
        </w:rPr>
        <w:t xml:space="preserve">.  </w:t>
      </w:r>
      <w:bookmarkStart w:id="20" w:name="_STATUTE_CONTENT__27d411e0_9008_4323_9d5"/>
      <w:r>
        <w:rPr>
          <w:rFonts w:ascii="Arial" w:eastAsia="Arial" w:hAnsi="Arial" w:cs="Arial"/>
          <w:u w:val="single"/>
        </w:rPr>
        <w:t>Customers affected by deficiencies in the rules are able to access timely resolution processes that do not place an und</w:t>
      </w:r>
      <w:r>
        <w:rPr>
          <w:rFonts w:ascii="Arial" w:eastAsia="Arial" w:hAnsi="Arial" w:cs="Arial"/>
          <w:u w:val="single"/>
        </w:rPr>
        <w:t>ue</w:t>
      </w:r>
      <w:r>
        <w:rPr>
          <w:rFonts w:ascii="Arial" w:eastAsia="Arial" w:hAnsi="Arial" w:cs="Arial"/>
          <w:u w:val="single"/>
        </w:rPr>
        <w:t xml:space="preserve"> burden on the customer; and</w:t>
      </w:r>
    </w:p>
    <w:p w:rsidR="00A24C3D" w:rsidP="00A24C3D">
      <w:pPr>
        <w:ind w:left="720"/>
        <w:rPr>
          <w:rFonts w:ascii="Arial" w:eastAsia="Arial" w:hAnsi="Arial" w:cs="Arial"/>
        </w:rPr>
      </w:pPr>
      <w:bookmarkStart w:id="21" w:name="_STATUTE_NUMBER__bee40bb8_7d1f_486d_a137"/>
      <w:bookmarkStart w:id="22" w:name="_STATUTE_P__a527186c_3207_4701_bb5a_084f"/>
      <w:bookmarkStart w:id="23" w:name="_PAR__6_e2756144_b6a6_497a_bceb_aa0de460"/>
      <w:bookmarkEnd w:id="18"/>
      <w:bookmarkEnd w:id="19"/>
      <w:bookmarkEnd w:id="20"/>
      <w:r>
        <w:rPr>
          <w:rFonts w:ascii="Arial" w:eastAsia="Arial" w:hAnsi="Arial" w:cs="Arial"/>
          <w:u w:val="single"/>
        </w:rPr>
        <w:t>C</w:t>
      </w:r>
      <w:bookmarkEnd w:id="21"/>
      <w:r>
        <w:rPr>
          <w:rFonts w:ascii="Arial" w:eastAsia="Arial" w:hAnsi="Arial" w:cs="Arial"/>
          <w:u w:val="single"/>
        </w:rPr>
        <w:t xml:space="preserve">.  </w:t>
      </w:r>
      <w:bookmarkStart w:id="24" w:name="_STATUTE_CONTENT__c10c54d7_28cc_4ba5_9ab"/>
      <w:r>
        <w:rPr>
          <w:rFonts w:ascii="Arial" w:eastAsia="Arial" w:hAnsi="Arial" w:cs="Arial"/>
          <w:u w:val="single"/>
        </w:rPr>
        <w:t>Investments in</w:t>
      </w:r>
      <w:r>
        <w:rPr>
          <w:rFonts w:ascii="Arial" w:eastAsia="Arial" w:hAnsi="Arial" w:cs="Arial"/>
          <w:u w:val="single"/>
        </w:rPr>
        <w:t xml:space="preserve"> investor-owned transmission and distribution</w:t>
      </w:r>
      <w:r>
        <w:rPr>
          <w:rFonts w:ascii="Arial" w:eastAsia="Arial" w:hAnsi="Arial" w:cs="Arial"/>
          <w:u w:val="single"/>
        </w:rPr>
        <w:t xml:space="preserve"> utility distribution upgrades related to load are coordinated with utility infrastructure upgrades required for the interconnection of </w:t>
      </w:r>
      <w:r>
        <w:rPr>
          <w:rFonts w:ascii="Arial" w:eastAsia="Arial" w:hAnsi="Arial" w:cs="Arial"/>
          <w:u w:val="single"/>
        </w:rPr>
        <w:t>renewable capacity resour</w:t>
      </w:r>
      <w:r>
        <w:rPr>
          <w:rFonts w:ascii="Arial" w:eastAsia="Arial" w:hAnsi="Arial" w:cs="Arial"/>
          <w:u w:val="single"/>
        </w:rPr>
        <w:t>ces using solar power</w:t>
      </w:r>
      <w:r>
        <w:rPr>
          <w:rFonts w:ascii="Arial" w:eastAsia="Arial" w:hAnsi="Arial" w:cs="Arial"/>
          <w:u w:val="single"/>
        </w:rPr>
        <w:t>.</w:t>
      </w:r>
    </w:p>
    <w:p w:rsidR="00A24C3D" w:rsidP="00A24C3D">
      <w:pPr>
        <w:ind w:left="360" w:firstLine="360"/>
        <w:rPr>
          <w:rFonts w:ascii="Arial" w:eastAsia="Arial" w:hAnsi="Arial" w:cs="Arial"/>
        </w:rPr>
      </w:pPr>
      <w:bookmarkStart w:id="25" w:name="_BILL_SECTION_UNALLOCATED__3684a377_1254"/>
      <w:bookmarkStart w:id="26" w:name="_INSTRUCTION__a3f22d12_3792_4484_9bf7_1a"/>
      <w:bookmarkEnd w:id="5"/>
      <w:bookmarkEnd w:id="10"/>
      <w:bookmarkEnd w:id="22"/>
      <w:bookmarkEnd w:id="23"/>
      <w:bookmarkEnd w:id="24"/>
      <w:r>
        <w:rPr>
          <w:rFonts w:ascii="Arial" w:eastAsia="Arial" w:hAnsi="Arial" w:cs="Arial"/>
          <w:b/>
          <w:sz w:val="24"/>
        </w:rPr>
        <w:t xml:space="preserve">Sec. </w:t>
      </w:r>
      <w:bookmarkStart w:id="27" w:name="_BILL_SECTION_NUMBER__cd09e0a1_e3dd_469d"/>
      <w:r>
        <w:rPr>
          <w:rFonts w:ascii="Arial" w:eastAsia="Arial" w:hAnsi="Arial" w:cs="Arial"/>
          <w:b/>
          <w:sz w:val="24"/>
        </w:rPr>
        <w:t>2</w:t>
      </w:r>
      <w:bookmarkEnd w:id="27"/>
      <w:r w:rsidRPr="00961D0C">
        <w:rPr>
          <w:rFonts w:ascii="Arial" w:eastAsia="Arial" w:hAnsi="Arial" w:cs="Arial"/>
          <w:b/>
          <w:sz w:val="24"/>
          <w:szCs w:val="24"/>
        </w:rPr>
        <w:t>.  Solar energy resources interconnection evaluation.</w:t>
      </w:r>
      <w:r w:rsidRPr="00961D0C">
        <w:rPr>
          <w:rFonts w:ascii="Arial" w:eastAsia="Arial" w:hAnsi="Arial" w:cs="Arial"/>
        </w:rPr>
        <w:t xml:space="preserve">  The Public Utilities Commission shall contract with an expert to evaluate near-term reforms to the State's standards, practices and procedures related to the interconnection of renewable capacity resources as defined in the Maine Revised Statutes, Title 35-A, section 3210-C, subsection 1, paragraph E using solar power to investor-owned transmission and distribution utilities to:</w:t>
      </w:r>
    </w:p>
    <w:p w:rsidR="00A24C3D" w:rsidP="00A24C3D">
      <w:pPr>
        <w:ind w:left="360" w:firstLine="360"/>
        <w:rPr>
          <w:rFonts w:ascii="Arial" w:eastAsia="Arial" w:hAnsi="Arial" w:cs="Arial"/>
        </w:rPr>
      </w:pPr>
      <w:r>
        <w:rPr>
          <w:rFonts w:ascii="Arial" w:eastAsia="Arial" w:hAnsi="Arial" w:cs="Arial"/>
        </w:rPr>
        <w:t xml:space="preserve">1.  Ensure that the timelines and requirements for interconnection do not unduly limit the ability of residential and nonresidential customers to install on-site solar energy generation and battery storage systems to offset a customer's electrical consumption and that interconnection costs for these customers are limited to interconnection facility upgrades and do not include the cost of distribution upgrades; </w:t>
      </w:r>
    </w:p>
    <w:p w:rsidR="00A24C3D" w:rsidP="00A24C3D">
      <w:pPr>
        <w:ind w:left="360" w:firstLine="360"/>
        <w:rPr>
          <w:rFonts w:ascii="Arial" w:eastAsia="Arial" w:hAnsi="Arial" w:cs="Arial"/>
        </w:rPr>
      </w:pPr>
      <w:r>
        <w:rPr>
          <w:rFonts w:ascii="Arial" w:eastAsia="Arial" w:hAnsi="Arial" w:cs="Arial"/>
        </w:rPr>
        <w:t>2.  Improve the transparency of interconnection screens and upgrades for customer-sited generation; and</w:t>
      </w:r>
    </w:p>
    <w:p w:rsidR="00A24C3D" w:rsidP="00A24C3D">
      <w:pPr>
        <w:ind w:left="360" w:firstLine="360"/>
        <w:rPr>
          <w:rFonts w:ascii="Arial" w:eastAsia="Arial" w:hAnsi="Arial" w:cs="Arial"/>
        </w:rPr>
      </w:pPr>
      <w:r>
        <w:rPr>
          <w:rFonts w:ascii="Arial" w:eastAsia="Arial" w:hAnsi="Arial" w:cs="Arial"/>
        </w:rPr>
        <w:t xml:space="preserve">3. Ensure that dispute resolution processes for residential and nonresidential interconnection customers are fair and efficient and do not place a disproportionate burden of technical expertise and cost on these customers. </w:t>
      </w:r>
    </w:p>
    <w:p w:rsidR="00A24C3D" w:rsidP="00A24C3D">
      <w:pPr>
        <w:ind w:left="360" w:firstLine="360"/>
        <w:rPr>
          <w:rFonts w:ascii="Arial" w:eastAsia="Arial" w:hAnsi="Arial" w:cs="Arial"/>
        </w:rPr>
      </w:pPr>
      <w:r>
        <w:rPr>
          <w:rFonts w:ascii="Arial" w:eastAsia="Arial" w:hAnsi="Arial" w:cs="Arial"/>
        </w:rPr>
        <w:t>Within 6 months of the effective date of this Act, the commission shall conduct a proceeding and issue an order relating to the near-term reforms identified in the evaluation conducted under this section.  Within one year of the effective date of this Act, the commission shall determine and adopt cost allocation methods for interconnection studies and upgrades that ensure on-site solar energy generators do not bear prohibitive costs for their projects to be studied by investor-owned transmission and distribution utilities and to be interconnected to the State's distribution system.</w:t>
      </w:r>
    </w:p>
    <w:p w:rsidR="00A24C3D" w:rsidP="00A24C3D">
      <w:pPr>
        <w:ind w:left="360" w:firstLine="360"/>
        <w:rPr>
          <w:rFonts w:ascii="Arial" w:eastAsia="Arial" w:hAnsi="Arial" w:cs="Arial"/>
        </w:rPr>
      </w:pPr>
      <w:bookmarkStart w:id="28" w:name="_APPROP_SECTION__ba345e16_11af_4e84_bfff"/>
      <w:bookmarkStart w:id="29" w:name="_INSTRUCTION__1d181c83_e224_4cda_a52b_cc"/>
      <w:bookmarkEnd w:id="25"/>
      <w:bookmarkEnd w:id="26"/>
      <w:r>
        <w:rPr>
          <w:rFonts w:ascii="Arial" w:eastAsia="Arial" w:hAnsi="Arial" w:cs="Arial"/>
          <w:b/>
          <w:sz w:val="24"/>
        </w:rPr>
        <w:t xml:space="preserve">Sec. </w:t>
      </w:r>
      <w:bookmarkStart w:id="30" w:name="_BILL_SECTION_NUMBER__c559f446_55cf_49c7"/>
      <w:r>
        <w:rPr>
          <w:rFonts w:ascii="Arial" w:eastAsia="Arial" w:hAnsi="Arial" w:cs="Arial"/>
          <w:b/>
          <w:sz w:val="24"/>
        </w:rPr>
        <w:t>3</w:t>
      </w:r>
      <w:bookmarkEnd w:id="30"/>
      <w:r>
        <w:rPr>
          <w:rFonts w:ascii="Arial" w:eastAsia="Arial" w:hAnsi="Arial" w:cs="Arial"/>
          <w:b/>
          <w:sz w:val="24"/>
        </w:rPr>
        <w:t>.  Appropriations and allocations.</w:t>
      </w:r>
      <w:r>
        <w:rPr>
          <w:rFonts w:ascii="Arial" w:eastAsia="Arial" w:hAnsi="Arial" w:cs="Arial"/>
        </w:rPr>
        <w:t>  The following appropriations and allocations are made.</w:t>
      </w:r>
    </w:p>
    <w:p w:rsidR="00A24C3D" w:rsidP="00A24C3D">
      <w:pPr>
        <w:pStyle w:val="BPSParagraphLeftAlign"/>
        <w:suppressAutoHyphens/>
        <w:ind w:left="360"/>
        <w:rPr>
          <w:rFonts w:ascii="Arial" w:eastAsia="Arial" w:hAnsi="Arial" w:cs="Arial"/>
        </w:rPr>
      </w:pPr>
      <w:r>
        <w:rPr>
          <w:rFonts w:ascii="Arial" w:eastAsia="Arial" w:hAnsi="Arial" w:cs="Arial"/>
          <w:b/>
        </w:rPr>
        <w:t>PUBLIC UTILITIES COMMISSION</w:t>
      </w:r>
    </w:p>
    <w:p w:rsidR="00A24C3D" w:rsidP="00A24C3D">
      <w:pPr>
        <w:pStyle w:val="BPSParagraphLeftAlign"/>
        <w:suppressAutoHyphens/>
        <w:ind w:left="360"/>
        <w:rPr>
          <w:rFonts w:ascii="Arial" w:eastAsia="Arial" w:hAnsi="Arial" w:cs="Arial"/>
        </w:rPr>
      </w:pPr>
      <w:r>
        <w:rPr>
          <w:rFonts w:ascii="Arial" w:eastAsia="Arial" w:hAnsi="Arial" w:cs="Arial"/>
          <w:b/>
        </w:rPr>
        <w:t>Public Utilities - Administrative Division 0184</w:t>
      </w:r>
    </w:p>
    <w:p w:rsidR="00A24C3D" w:rsidP="00A24C3D">
      <w:pPr>
        <w:ind w:left="360"/>
        <w:rPr>
          <w:rFonts w:ascii="Arial" w:eastAsia="Arial" w:hAnsi="Arial" w:cs="Arial"/>
        </w:rPr>
      </w:pPr>
      <w:r>
        <w:rPr>
          <w:rFonts w:ascii="Arial" w:eastAsia="Arial" w:hAnsi="Arial" w:cs="Arial"/>
        </w:rPr>
        <w:t>Initiative: Provides an allocation for contracted services for a solar resources interconnection evaluation.</w:t>
      </w:r>
    </w:p>
    <w:tbl>
      <w:tblPr>
        <w:tblStyle w:val="BPSTable"/>
        <w:tblW w:w="0" w:type="auto"/>
        <w:tblInd w:w="360" w:type="dxa"/>
        <w:tblCellMar>
          <w:left w:w="0" w:type="dxa"/>
          <w:right w:w="0" w:type="dxa"/>
        </w:tblCellMar>
        <w:tblLook w:val="04A0"/>
      </w:tblPr>
      <w:tblGrid>
        <w:gridCol w:w="5009"/>
        <w:gridCol w:w="1463"/>
        <w:gridCol w:w="1463"/>
      </w:tblGrid>
      <w:tr w:rsidTr="00CD2C62">
        <w:tblPrEx>
          <w:tblW w:w="0" w:type="auto"/>
          <w:tblInd w:w="360" w:type="dxa"/>
          <w:tblCellMar>
            <w:left w:w="0" w:type="dxa"/>
            <w:right w:w="0" w:type="dxa"/>
          </w:tblCellMar>
          <w:tblLook w:val="04A0"/>
        </w:tblPrEx>
        <w:tc>
          <w:tcPr>
            <w:tcW w:w="5069" w:type="dxa"/>
          </w:tcPr>
          <w:p w:rsidR="00A24C3D" w:rsidP="00CD2C62">
            <w:pPr>
              <w:rPr>
                <w:rFonts w:ascii="Arial" w:eastAsia="Arial" w:hAnsi="Arial" w:cs="Arial"/>
              </w:rPr>
            </w:pPr>
            <w:r>
              <w:rPr>
                <w:rFonts w:ascii="Arial" w:eastAsia="Arial" w:hAnsi="Arial" w:cs="Arial"/>
                <w:b/>
              </w:rPr>
              <w:t>OTHER SPECIAL REVENUE FUNDS</w:t>
            </w:r>
          </w:p>
        </w:tc>
        <w:tc>
          <w:tcPr>
            <w:tcW w:w="1469" w:type="dxa"/>
          </w:tcPr>
          <w:p w:rsidR="00A24C3D" w:rsidP="00CD2C62">
            <w:pPr>
              <w:jc w:val="right"/>
              <w:rPr>
                <w:rFonts w:ascii="Arial" w:eastAsia="Arial" w:hAnsi="Arial" w:cs="Arial"/>
              </w:rPr>
            </w:pPr>
            <w:r>
              <w:rPr>
                <w:rFonts w:ascii="Arial" w:eastAsia="Arial" w:hAnsi="Arial" w:cs="Arial"/>
                <w:b/>
              </w:rPr>
              <w:t>2021-22</w:t>
            </w:r>
          </w:p>
        </w:tc>
        <w:tc>
          <w:tcPr>
            <w:tcW w:w="1469" w:type="dxa"/>
          </w:tcPr>
          <w:p w:rsidR="00A24C3D" w:rsidP="00CD2C62">
            <w:pPr>
              <w:jc w:val="right"/>
              <w:rPr>
                <w:rFonts w:ascii="Arial" w:eastAsia="Arial" w:hAnsi="Arial" w:cs="Arial"/>
              </w:rPr>
            </w:pPr>
            <w:r>
              <w:rPr>
                <w:rFonts w:ascii="Arial" w:eastAsia="Arial" w:hAnsi="Arial" w:cs="Arial"/>
                <w:b/>
              </w:rPr>
              <w:t>2022-23</w:t>
            </w:r>
          </w:p>
        </w:tc>
      </w:tr>
      <w:tr w:rsidTr="00CD2C62">
        <w:tblPrEx>
          <w:tblW w:w="0" w:type="auto"/>
          <w:tblInd w:w="360" w:type="dxa"/>
          <w:tblCellMar>
            <w:left w:w="0" w:type="dxa"/>
            <w:right w:w="0" w:type="dxa"/>
          </w:tblCellMar>
          <w:tblLook w:val="04A0"/>
        </w:tblPrEx>
        <w:tc>
          <w:tcPr>
            <w:tcW w:w="5069" w:type="dxa"/>
          </w:tcPr>
          <w:p w:rsidR="00A24C3D" w:rsidP="00CD2C62">
            <w:pPr>
              <w:ind w:left="180"/>
              <w:rPr>
                <w:rFonts w:ascii="Arial" w:eastAsia="Arial" w:hAnsi="Arial" w:cs="Arial"/>
              </w:rPr>
            </w:pPr>
            <w:r>
              <w:rPr>
                <w:rFonts w:ascii="Arial" w:eastAsia="Arial" w:hAnsi="Arial" w:cs="Arial"/>
              </w:rPr>
              <w:t>All Other</w:t>
            </w:r>
          </w:p>
        </w:tc>
        <w:tc>
          <w:tcPr>
            <w:tcW w:w="1469" w:type="dxa"/>
          </w:tcPr>
          <w:p w:rsidR="00A24C3D" w:rsidP="00CD2C62">
            <w:pPr>
              <w:jc w:val="right"/>
              <w:rPr>
                <w:rFonts w:ascii="Arial" w:eastAsia="Arial" w:hAnsi="Arial" w:cs="Arial"/>
              </w:rPr>
            </w:pPr>
            <w:r>
              <w:rPr>
                <w:rFonts w:ascii="Arial" w:eastAsia="Arial" w:hAnsi="Arial" w:cs="Arial"/>
              </w:rPr>
              <w:t>$254,693</w:t>
            </w:r>
          </w:p>
        </w:tc>
        <w:tc>
          <w:tcPr>
            <w:tcW w:w="1469" w:type="dxa"/>
          </w:tcPr>
          <w:p w:rsidR="00A24C3D" w:rsidP="00CD2C62">
            <w:pPr>
              <w:jc w:val="right"/>
              <w:rPr>
                <w:rFonts w:ascii="Arial" w:eastAsia="Arial" w:hAnsi="Arial" w:cs="Arial"/>
              </w:rPr>
            </w:pPr>
            <w:r>
              <w:rPr>
                <w:rFonts w:ascii="Arial" w:eastAsia="Arial" w:hAnsi="Arial" w:cs="Arial"/>
              </w:rPr>
              <w:t>$0</w:t>
            </w:r>
          </w:p>
        </w:tc>
      </w:tr>
      <w:tr w:rsidTr="00CD2C62">
        <w:tblPrEx>
          <w:tblW w:w="0" w:type="auto"/>
          <w:tblInd w:w="360" w:type="dxa"/>
          <w:tblCellMar>
            <w:left w:w="0" w:type="dxa"/>
            <w:right w:w="0" w:type="dxa"/>
          </w:tblCellMar>
          <w:tblLook w:val="04A0"/>
        </w:tblPrEx>
        <w:tc>
          <w:tcPr>
            <w:tcW w:w="5069" w:type="dxa"/>
          </w:tcPr>
          <w:p w:rsidR="00A24C3D" w:rsidP="00CD2C62">
            <w:pPr>
              <w:rPr>
                <w:rFonts w:ascii="Arial" w:eastAsia="Arial" w:hAnsi="Arial" w:cs="Arial"/>
              </w:rPr>
            </w:pPr>
            <w:r>
              <w:rPr>
                <w:rFonts w:ascii="Arial" w:eastAsia="Arial" w:hAnsi="Arial" w:cs="Arial"/>
              </w:rPr>
              <w:t xml:space="preserve"> </w:t>
            </w:r>
          </w:p>
        </w:tc>
        <w:tc>
          <w:tcPr>
            <w:tcW w:w="1469" w:type="dxa"/>
          </w:tcPr>
          <w:p w:rsidR="00A24C3D" w:rsidP="00CD2C62">
            <w:pPr>
              <w:jc w:val="right"/>
              <w:rPr>
                <w:rFonts w:ascii="Arial" w:eastAsia="Arial" w:hAnsi="Arial" w:cs="Arial"/>
              </w:rPr>
            </w:pPr>
            <w:r>
              <w:rPr>
                <w:rFonts w:ascii="Arial" w:eastAsia="Arial" w:hAnsi="Arial" w:cs="Arial"/>
              </w:rPr>
              <w:t>__________</w:t>
            </w:r>
          </w:p>
        </w:tc>
        <w:tc>
          <w:tcPr>
            <w:tcW w:w="1469" w:type="dxa"/>
          </w:tcPr>
          <w:p w:rsidR="00A24C3D" w:rsidP="00CD2C62">
            <w:pPr>
              <w:jc w:val="right"/>
              <w:rPr>
                <w:rFonts w:ascii="Arial" w:eastAsia="Arial" w:hAnsi="Arial" w:cs="Arial"/>
              </w:rPr>
            </w:pPr>
            <w:r>
              <w:rPr>
                <w:rFonts w:ascii="Arial" w:eastAsia="Arial" w:hAnsi="Arial" w:cs="Arial"/>
              </w:rPr>
              <w:t>__________</w:t>
            </w:r>
          </w:p>
        </w:tc>
      </w:tr>
      <w:tr w:rsidTr="00CD2C62">
        <w:tblPrEx>
          <w:tblW w:w="0" w:type="auto"/>
          <w:tblInd w:w="360" w:type="dxa"/>
          <w:tblCellMar>
            <w:left w:w="0" w:type="dxa"/>
            <w:right w:w="0" w:type="dxa"/>
          </w:tblCellMar>
          <w:tblLook w:val="04A0"/>
        </w:tblPrEx>
        <w:tc>
          <w:tcPr>
            <w:tcW w:w="5069" w:type="dxa"/>
          </w:tcPr>
          <w:p w:rsidR="00A24C3D" w:rsidP="00CD2C62">
            <w:pPr>
              <w:rPr>
                <w:rFonts w:ascii="Arial" w:eastAsia="Arial" w:hAnsi="Arial" w:cs="Arial"/>
              </w:rPr>
            </w:pPr>
            <w:r>
              <w:rPr>
                <w:rFonts w:ascii="Arial" w:eastAsia="Arial" w:hAnsi="Arial" w:cs="Arial"/>
              </w:rPr>
              <w:t>OTHER SPECIAL REVENUE FUNDS TOTAL</w:t>
            </w:r>
          </w:p>
        </w:tc>
        <w:tc>
          <w:tcPr>
            <w:tcW w:w="1469" w:type="dxa"/>
          </w:tcPr>
          <w:p w:rsidR="00A24C3D" w:rsidP="00CD2C62">
            <w:pPr>
              <w:jc w:val="right"/>
              <w:rPr>
                <w:rFonts w:ascii="Arial" w:eastAsia="Arial" w:hAnsi="Arial" w:cs="Arial"/>
              </w:rPr>
            </w:pPr>
            <w:r>
              <w:rPr>
                <w:rFonts w:ascii="Arial" w:eastAsia="Arial" w:hAnsi="Arial" w:cs="Arial"/>
              </w:rPr>
              <w:t>$254,693</w:t>
            </w:r>
          </w:p>
        </w:tc>
        <w:tc>
          <w:tcPr>
            <w:tcW w:w="1469" w:type="dxa"/>
          </w:tcPr>
          <w:p w:rsidR="00A24C3D" w:rsidP="00CD2C62">
            <w:pPr>
              <w:jc w:val="right"/>
              <w:rPr>
                <w:rFonts w:ascii="Arial" w:eastAsia="Arial" w:hAnsi="Arial" w:cs="Arial"/>
              </w:rPr>
            </w:pPr>
            <w:r>
              <w:rPr>
                <w:rFonts w:ascii="Arial" w:eastAsia="Arial" w:hAnsi="Arial" w:cs="Arial"/>
              </w:rPr>
              <w:t>$0</w:t>
            </w:r>
          </w:p>
        </w:tc>
      </w:tr>
      <w:bookmarkEnd w:id="2"/>
      <w:bookmarkEnd w:id="6"/>
      <w:bookmarkEnd w:id="28"/>
      <w:bookmarkEnd w:id="2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LR1438,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the Continued Access to Solar Energy and Battery Storage by Maine Homes and Businesses</w:t>
    </w:r>
  </w:p>
  <w:p>
    <w:pPr>
      <w:suppressLineNumbers/>
      <w:spacing w:before="0" w:after="0"/>
      <w:jc w:val="center"/>
      <w:rPr>
        <w:rFonts w:ascii="Arial" w:eastAsia="Arial" w:hAnsi="Arial" w:cs="Arial"/>
      </w:rPr>
    </w:pPr>
    <w:r>
      <w:rPr>
        <w:rFonts w:ascii="Arial" w:eastAsia="Arial" w:hAnsi="Arial" w:cs="Arial"/>
        <w:sz w:val="22"/>
      </w:rPr>
      <w:t>L.D. 1100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61D0C"/>
    <w:rsid w:val="0099722B"/>
    <w:rsid w:val="009B3D4F"/>
    <w:rsid w:val="009D6A0B"/>
    <w:rsid w:val="009E724F"/>
    <w:rsid w:val="009F6C9E"/>
    <w:rsid w:val="00A24C3D"/>
    <w:rsid w:val="00A81643"/>
    <w:rsid w:val="00AA73FC"/>
    <w:rsid w:val="00B4353D"/>
    <w:rsid w:val="00B45FFB"/>
    <w:rsid w:val="00B5130C"/>
    <w:rsid w:val="00B97FEC"/>
    <w:rsid w:val="00BC0528"/>
    <w:rsid w:val="00BC3B30"/>
    <w:rsid w:val="00BE5DC0"/>
    <w:rsid w:val="00C6107B"/>
    <w:rsid w:val="00C61EAA"/>
    <w:rsid w:val="00CA163F"/>
    <w:rsid w:val="00CD2C62"/>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