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Rebuttable Presumption Related to Specialized Risk Screening for First Responders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343 - L.D. 784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Create a Rebuttable Presumption Related to Specialized Risk Screening for First Responders</w:t>
      </w:r>
    </w:p>
    <w:p w:rsidR="00A125A4" w:rsidP="00A125A4">
      <w:pPr>
        <w:ind w:left="360"/>
        <w:rPr>
          <w:rFonts w:ascii="Arial" w:eastAsia="Arial" w:hAnsi="Arial" w:cs="Arial"/>
        </w:rPr>
      </w:pPr>
      <w:bookmarkStart w:id="0" w:name="_ENACTING_CLAUSE__a5adbffe_2e8d_46f4_bd9"/>
      <w:bookmarkStart w:id="1" w:name="_PAR__1_0ca8c790_8b59_488c_a43f_02ddb255"/>
      <w:bookmarkStart w:id="2" w:name="_DOC_BODY_CONTAINER__9ea534da_db24_4185_"/>
      <w:r>
        <w:rPr>
          <w:rFonts w:ascii="Arial" w:eastAsia="Arial" w:hAnsi="Arial" w:cs="Arial"/>
          <w:b/>
        </w:rPr>
        <w:t>Be it enacted by the People of the State of Maine as follows:</w:t>
      </w:r>
    </w:p>
    <w:p w:rsidR="00A125A4" w:rsidP="00A125A4">
      <w:pPr>
        <w:ind w:left="360" w:firstLine="360"/>
        <w:rPr>
          <w:rFonts w:ascii="Arial" w:eastAsia="Arial" w:hAnsi="Arial" w:cs="Arial"/>
        </w:rPr>
      </w:pPr>
      <w:bookmarkStart w:id="3" w:name="_BILL_SECTION_HEADER__5e3c1b19_0f1e_4308"/>
      <w:bookmarkStart w:id="4" w:name="_BILL_SECTION__616f4a5d_ee56_4cbd_a3ac_a"/>
      <w:bookmarkStart w:id="5" w:name="_INSTRUCTION__c52182e0_f8d5_4dac_9469_06"/>
      <w:bookmarkStart w:id="6" w:name="_DOC_BODY_CONTENT__3ea94bd4_cb7e_42a6_a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defc4d8_297a_405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24-A MRSA §4301-A, sub-§5-B</w:t>
      </w:r>
      <w:r>
        <w:rPr>
          <w:rFonts w:ascii="Arial" w:eastAsia="Arial" w:hAnsi="Arial" w:cs="Arial"/>
        </w:rPr>
        <w:t xml:space="preserve"> is enacted to read:</w:t>
      </w:r>
    </w:p>
    <w:p w:rsidR="00A125A4" w:rsidP="00A125A4">
      <w:pPr>
        <w:ind w:left="360" w:firstLine="360"/>
        <w:rPr>
          <w:rFonts w:ascii="Arial" w:eastAsia="Arial" w:hAnsi="Arial" w:cs="Arial"/>
        </w:rPr>
      </w:pPr>
      <w:bookmarkStart w:id="8" w:name="_STATUTE_NUMBER__e414d5c6_c5aa_4cd0_81ae"/>
      <w:bookmarkStart w:id="9" w:name="_STATUTE_SS__d6274fe6_5288_46e0_b03f_4b2"/>
      <w:bookmarkStart w:id="10" w:name="_REV__2d4d78e5_c34a_4ac9_a083_64ae0aee74"/>
      <w:bookmarkStart w:id="11" w:name="_PROCESSED_CHANGE__e3981060_6770_47e2_a4"/>
      <w:bookmarkStart w:id="12" w:name="_PROCESSED_CHANGE__4da18d71_cd2a_4353_b1"/>
      <w:bookmarkEnd w:id="3"/>
      <w:r>
        <w:rPr>
          <w:rFonts w:ascii="Arial" w:eastAsia="Arial" w:hAnsi="Arial" w:cs="Arial"/>
          <w:b/>
          <w:u w:val="single"/>
        </w:rPr>
        <w:t>5-B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b8d86d0f_d2d5_45f8_b1"/>
      <w:r>
        <w:rPr>
          <w:rFonts w:ascii="Arial" w:eastAsia="Arial" w:hAnsi="Arial" w:cs="Arial"/>
          <w:b/>
          <w:u w:val="single"/>
        </w:rPr>
        <w:t xml:space="preserve">First responder. </w:t>
      </w:r>
      <w:r>
        <w:rPr>
          <w:rFonts w:ascii="Arial" w:eastAsia="Arial" w:hAnsi="Arial" w:cs="Arial"/>
          <w:u w:val="single"/>
        </w:rPr>
        <w:t xml:space="preserve"> </w:t>
      </w:r>
      <w:bookmarkStart w:id="14" w:name="_STATUTE_CONTENT__7d2d0728_9a21_4b4a_8cf"/>
      <w:bookmarkEnd w:id="13"/>
      <w:r>
        <w:rPr>
          <w:rFonts w:ascii="Arial" w:eastAsia="Arial" w:hAnsi="Arial" w:cs="Arial"/>
          <w:u w:val="single"/>
        </w:rPr>
        <w:t>"First responder" means an employee or occasional employee of a state, county or municipal government entity or volunteer of a state, county or municipal government entity that provides or has the authority to provide fire, emergency medical, emergency communications, correctional or police services.</w:t>
      </w:r>
    </w:p>
    <w:p w:rsidR="00A125A4" w:rsidP="00A125A4">
      <w:pPr>
        <w:ind w:left="360" w:firstLine="360"/>
        <w:rPr>
          <w:rFonts w:ascii="Arial" w:eastAsia="Arial" w:hAnsi="Arial" w:cs="Arial"/>
        </w:rPr>
      </w:pPr>
      <w:bookmarkStart w:id="15" w:name="_BILL_SECTION_HEADER__571ac954_0639_4221"/>
      <w:bookmarkStart w:id="16" w:name="_BILL_SECTION__c21be90a_f743_42d9_a81f_7"/>
      <w:bookmarkEnd w:id="4"/>
      <w:bookmarkEnd w:id="9"/>
      <w:bookmarkEnd w:id="10"/>
      <w:bookmarkEnd w:id="11"/>
      <w:bookmarkEnd w:id="12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c901394e_eb5a_4b33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24-A MRSA §4301-A, sub-§19-A</w:t>
      </w:r>
      <w:r>
        <w:rPr>
          <w:rFonts w:ascii="Arial" w:eastAsia="Arial" w:hAnsi="Arial" w:cs="Arial"/>
        </w:rPr>
        <w:t xml:space="preserve"> is enacted to read:</w:t>
      </w:r>
    </w:p>
    <w:p w:rsidR="00A125A4" w:rsidP="00A125A4">
      <w:pPr>
        <w:ind w:left="360" w:firstLine="360"/>
        <w:rPr>
          <w:rFonts w:ascii="Arial" w:eastAsia="Arial" w:hAnsi="Arial" w:cs="Arial"/>
        </w:rPr>
      </w:pPr>
      <w:bookmarkStart w:id="18" w:name="_STATUTE_NUMBER__f712e992_c89a_4e1b_b6ef"/>
      <w:bookmarkStart w:id="19" w:name="_REV__7cfaeb9d_9e39_48d6_bcec_523221d67b"/>
      <w:bookmarkStart w:id="20" w:name="_PROCESSED_CHANGE__37286801_03d5_46d6_bc"/>
      <w:bookmarkStart w:id="21" w:name="_PROCESSED_CHANGE__9fc9759c_ef56_4821_bd"/>
      <w:bookmarkStart w:id="22" w:name="_STATUTE_SS__74ff3c75_479a_4c70_adf1_104"/>
      <w:bookmarkEnd w:id="15"/>
      <w:r>
        <w:rPr>
          <w:rFonts w:ascii="Arial" w:eastAsia="Arial" w:hAnsi="Arial" w:cs="Arial"/>
          <w:b/>
          <w:u w:val="single"/>
        </w:rPr>
        <w:t>19-A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cb32aad6_1280_4adb_a2"/>
      <w:r>
        <w:rPr>
          <w:rFonts w:ascii="Arial" w:eastAsia="Arial" w:hAnsi="Arial" w:cs="Arial"/>
          <w:b/>
          <w:u w:val="single"/>
        </w:rPr>
        <w:t xml:space="preserve">Specialized risk screening.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5c3dd116_9d87_4775_a5d"/>
      <w:bookmarkEnd w:id="23"/>
      <w:r>
        <w:rPr>
          <w:rFonts w:ascii="Arial" w:eastAsia="Arial" w:hAnsi="Arial" w:cs="Arial"/>
          <w:u w:val="single"/>
        </w:rPr>
        <w:t>"Specialized risk screening" means any of the following standard, medically accepted tests:</w:t>
      </w:r>
    </w:p>
    <w:p w:rsidR="00A125A4" w:rsidP="00A125A4">
      <w:pPr>
        <w:ind w:left="720"/>
        <w:rPr>
          <w:rFonts w:ascii="Arial" w:eastAsia="Arial" w:hAnsi="Arial" w:cs="Arial"/>
        </w:rPr>
      </w:pPr>
      <w:bookmarkStart w:id="25" w:name="_STATUTE_NUMBER__4efd33e0_324c_416d_a2af"/>
      <w:bookmarkStart w:id="26" w:name="_STATUTE_P__a8a2e842_37b4_478b_8f99_cb00"/>
      <w:bookmarkStart w:id="27" w:name="_REV__063ca8be_5f34_49af_b402_ba5fb0b3fb"/>
      <w:bookmarkEnd w:id="19"/>
      <w:bookmarkEnd w:id="24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0e50310c_4ac3_4975_909"/>
      <w:r>
        <w:rPr>
          <w:rFonts w:ascii="Arial" w:eastAsia="Arial" w:hAnsi="Arial" w:cs="Arial"/>
          <w:u w:val="single"/>
        </w:rPr>
        <w:t>Tests for evidence of any cancer with a known employment-related risk of exposure for a first responder;</w:t>
      </w:r>
    </w:p>
    <w:p w:rsidR="00A125A4" w:rsidP="00A125A4">
      <w:pPr>
        <w:ind w:left="720"/>
        <w:rPr>
          <w:rFonts w:ascii="Arial" w:eastAsia="Arial" w:hAnsi="Arial" w:cs="Arial"/>
        </w:rPr>
      </w:pPr>
      <w:bookmarkStart w:id="29" w:name="_STATUTE_NUMBER__6cfb7d53_dbad_4a3e_9eb2"/>
      <w:bookmarkStart w:id="30" w:name="_STATUTE_P__04fa9780_35f8_4e65_81de_3450"/>
      <w:bookmarkStart w:id="31" w:name="_REV__2066f210_95d3_42c1_ab92_7e33523c80"/>
      <w:bookmarkEnd w:id="26"/>
      <w:bookmarkEnd w:id="27"/>
      <w:bookmarkEnd w:id="28"/>
      <w:r>
        <w:rPr>
          <w:rFonts w:ascii="Arial" w:eastAsia="Arial" w:hAnsi="Arial" w:cs="Arial"/>
          <w:u w:val="single"/>
        </w:rPr>
        <w:t>B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9021c47d_a68a_4019_9c9"/>
      <w:r>
        <w:rPr>
          <w:rFonts w:ascii="Arial" w:eastAsia="Arial" w:hAnsi="Arial" w:cs="Arial"/>
          <w:u w:val="single"/>
        </w:rPr>
        <w:t>Blood tests, including tests conducted for a complete blood count, comprehensive metabolic panel, renal panel and hepatic panel;</w:t>
      </w:r>
    </w:p>
    <w:p w:rsidR="00A125A4" w:rsidP="00A125A4">
      <w:pPr>
        <w:ind w:left="720"/>
        <w:rPr>
          <w:rFonts w:ascii="Arial" w:eastAsia="Arial" w:hAnsi="Arial" w:cs="Arial"/>
        </w:rPr>
      </w:pPr>
      <w:bookmarkStart w:id="33" w:name="_STATUTE_NUMBER__3847fc4a_4847_4416_a3bd"/>
      <w:bookmarkStart w:id="34" w:name="_STATUTE_P__35cab4db_9ef1_4a57_83de_51f0"/>
      <w:bookmarkStart w:id="35" w:name="_REV__9ec13ea3_e35d_4e6d_b3db_6ab9c1b665"/>
      <w:bookmarkEnd w:id="30"/>
      <w:bookmarkEnd w:id="31"/>
      <w:bookmarkEnd w:id="32"/>
      <w:r>
        <w:rPr>
          <w:rFonts w:ascii="Arial" w:eastAsia="Arial" w:hAnsi="Arial" w:cs="Arial"/>
          <w:u w:val="single"/>
        </w:rPr>
        <w:t>C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dc6abdac_1dac_4d35_849"/>
      <w:r>
        <w:rPr>
          <w:rFonts w:ascii="Arial" w:eastAsia="Arial" w:hAnsi="Arial" w:cs="Arial"/>
          <w:u w:val="single"/>
        </w:rPr>
        <w:t>Mammography, colonoscopy or prostate examinations regardless of the age of the person who is the subject of the examination;</w:t>
      </w:r>
    </w:p>
    <w:p w:rsidR="00A125A4" w:rsidP="00A125A4">
      <w:pPr>
        <w:ind w:left="720"/>
        <w:rPr>
          <w:rFonts w:ascii="Arial" w:eastAsia="Arial" w:hAnsi="Arial" w:cs="Arial"/>
        </w:rPr>
      </w:pPr>
      <w:bookmarkStart w:id="37" w:name="_STATUTE_NUMBER__58f90b7b_886a_47fe_8277"/>
      <w:bookmarkStart w:id="38" w:name="_STATUTE_P__38063992_9997_41d0_acb7_bb79"/>
      <w:bookmarkStart w:id="39" w:name="_REV__f0d664ce_bcc6_4506_ac16_eb3a7c5276"/>
      <w:bookmarkEnd w:id="34"/>
      <w:bookmarkEnd w:id="35"/>
      <w:bookmarkEnd w:id="36"/>
      <w:r>
        <w:rPr>
          <w:rFonts w:ascii="Arial" w:eastAsia="Arial" w:hAnsi="Arial" w:cs="Arial"/>
          <w:u w:val="single"/>
        </w:rPr>
        <w:t>D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7b6eb103_fdec_4a15_b21"/>
      <w:r>
        <w:rPr>
          <w:rFonts w:ascii="Arial" w:eastAsia="Arial" w:hAnsi="Arial" w:cs="Arial"/>
          <w:u w:val="single"/>
        </w:rPr>
        <w:t>Tests of any measure of serum activity of lipoprotein-associated phospholipase enzyme A2, oxidized low-density lipoprotein or additional indicators of endovascular inflammation; or</w:t>
      </w:r>
    </w:p>
    <w:p w:rsidR="00A125A4" w:rsidP="00A125A4">
      <w:pPr>
        <w:ind w:left="720"/>
        <w:rPr>
          <w:rFonts w:ascii="Arial" w:eastAsia="Arial" w:hAnsi="Arial" w:cs="Arial"/>
        </w:rPr>
      </w:pPr>
      <w:bookmarkStart w:id="41" w:name="_STATUTE_NUMBER__aad70bbc_7d22_4c62_9d26"/>
      <w:bookmarkStart w:id="42" w:name="_REV__a441dfd1_5468_4e42_b1ac_afa651bd0d"/>
      <w:bookmarkStart w:id="43" w:name="_STATUTE_P__f7819672_ccfe_4f07_9d23_824e"/>
      <w:bookmarkEnd w:id="38"/>
      <w:bookmarkEnd w:id="39"/>
      <w:bookmarkEnd w:id="40"/>
      <w:r>
        <w:rPr>
          <w:rFonts w:ascii="Arial" w:eastAsia="Arial" w:hAnsi="Arial" w:cs="Arial"/>
          <w:u w:val="single"/>
        </w:rPr>
        <w:t>E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fecd7c8a_656a_430d_ba4"/>
      <w:r>
        <w:rPr>
          <w:rFonts w:ascii="Arial" w:eastAsia="Arial" w:hAnsi="Arial" w:cs="Arial"/>
          <w:u w:val="single"/>
        </w:rPr>
        <w:t>Tests to measure vitamin deficiencies, nutritional deficits and mineral levels.</w:t>
      </w:r>
      <w:bookmarkEnd w:id="20"/>
      <w:bookmarkEnd w:id="21"/>
      <w:bookmarkEnd w:id="42"/>
    </w:p>
    <w:p w:rsidR="00A125A4" w:rsidP="00A125A4">
      <w:pPr>
        <w:ind w:left="360" w:firstLine="360"/>
        <w:rPr>
          <w:rFonts w:ascii="Arial" w:eastAsia="Arial" w:hAnsi="Arial" w:cs="Arial"/>
        </w:rPr>
      </w:pPr>
      <w:bookmarkStart w:id="45" w:name="_BILL_SECTION__20f2e21c_89ac_4a8d_8bc6_5"/>
      <w:bookmarkStart w:id="46" w:name="_BILL_SECTION_HEADER__2ab73931_97c1_4feb"/>
      <w:bookmarkEnd w:id="16"/>
      <w:bookmarkEnd w:id="22"/>
      <w:bookmarkEnd w:id="43"/>
      <w:bookmarkEnd w:id="44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a6b6af06_2ec2_4d3a"/>
      <w:r>
        <w:rPr>
          <w:rFonts w:ascii="Arial" w:eastAsia="Arial" w:hAnsi="Arial" w:cs="Arial"/>
          <w:b/>
          <w:sz w:val="24"/>
        </w:rPr>
        <w:t>3</w:t>
      </w:r>
      <w:bookmarkEnd w:id="47"/>
      <w:r>
        <w:rPr>
          <w:rFonts w:ascii="Arial" w:eastAsia="Arial" w:hAnsi="Arial" w:cs="Arial"/>
          <w:b/>
          <w:sz w:val="24"/>
        </w:rPr>
        <w:t>.  24-A MRSA §4313, sub-§15</w:t>
      </w:r>
      <w:r>
        <w:rPr>
          <w:rFonts w:ascii="Arial" w:eastAsia="Arial" w:hAnsi="Arial" w:cs="Arial"/>
        </w:rPr>
        <w:t xml:space="preserve"> is enacted to read:</w:t>
      </w:r>
    </w:p>
    <w:p w:rsidR="00A125A4" w:rsidP="00A125A4">
      <w:pPr>
        <w:ind w:left="360" w:firstLine="360"/>
        <w:rPr>
          <w:rFonts w:ascii="Arial" w:eastAsia="Arial" w:hAnsi="Arial" w:cs="Arial"/>
        </w:rPr>
      </w:pPr>
      <w:bookmarkStart w:id="48" w:name="_STATUTE_NUMBER__99a8d7a8_6fa4_4e1b_813d"/>
      <w:bookmarkStart w:id="49" w:name="_STATUTE_SS__3a7f4645_4031_4159_ac0e_6d0"/>
      <w:bookmarkStart w:id="50" w:name="_REV__c435602a_eb76_494c_86f6_8739aeab68"/>
      <w:bookmarkStart w:id="51" w:name="_PROCESSED_CHANGE__cd1514e6_6219_4d42_86"/>
      <w:bookmarkStart w:id="52" w:name="_PROCESSED_CHANGE__719d8abb_1714_402c_91"/>
      <w:bookmarkEnd w:id="46"/>
      <w:r>
        <w:rPr>
          <w:rFonts w:ascii="Arial" w:eastAsia="Arial" w:hAnsi="Arial" w:cs="Arial"/>
          <w:b/>
          <w:u w:val="single"/>
        </w:rPr>
        <w:t>15</w:t>
      </w:r>
      <w:bookmarkEnd w:id="48"/>
      <w:r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b2929c5a_47ed_4721_bc"/>
      <w:r>
        <w:rPr>
          <w:rFonts w:ascii="Arial" w:eastAsia="Arial" w:hAnsi="Arial" w:cs="Arial"/>
          <w:b/>
          <w:u w:val="single"/>
        </w:rPr>
        <w:t xml:space="preserve">Rebuttable presumption. 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d1590424_f708_4ce0_8db"/>
      <w:bookmarkEnd w:id="53"/>
      <w:r>
        <w:rPr>
          <w:rFonts w:ascii="Arial" w:eastAsia="Arial" w:hAnsi="Arial" w:cs="Arial"/>
          <w:u w:val="single"/>
        </w:rPr>
        <w:t>In a cause of action under this section or under Title 18-C, section 2-807 as permitted under subsection 14, there is a rebuttable presumption that a carrier has failed to exercise ordinary care when making an adverse health care treatment decision to deny coverage under a health plan for covered specialized risk screening for an enrollee who is a first responder and whose provider has determined the enrollee's receipt of specialized risk screening is medically appropriate and has meaningful potential for preventive clinical benefit to the enrollee.</w:t>
      </w:r>
    </w:p>
    <w:p w:rsidR="00000000" w:rsidP="00A125A4">
      <w:pPr>
        <w:ind w:left="360" w:firstLine="360"/>
        <w:rPr>
          <w:rFonts w:ascii="Arial" w:eastAsia="Arial" w:hAnsi="Arial" w:cs="Arial"/>
        </w:rPr>
      </w:pPr>
      <w:bookmarkStart w:id="55" w:name="_APPLICATION_CLAUSE__320bef57_add7_4679_"/>
      <w:bookmarkEnd w:id="45"/>
      <w:bookmarkEnd w:id="49"/>
      <w:bookmarkEnd w:id="50"/>
      <w:bookmarkEnd w:id="51"/>
      <w:bookmarkEnd w:id="52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d745d5ac_e045_4423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 xml:space="preserve">This Act applies to </w:t>
      </w:r>
      <w:r w:rsidRPr="004A01B0">
        <w:rPr>
          <w:rFonts w:ascii="Arial" w:eastAsia="Arial" w:hAnsi="Arial" w:cs="Arial"/>
        </w:rPr>
        <w:t>an adverse health care treatment decision made by a carrier, as defined in the Maine Revised Statutes, Title 24-A, section 4301-A, subsection 3, on or after the effective date of this Act.</w:t>
      </w:r>
      <w:bookmarkEnd w:id="2"/>
      <w:bookmarkEnd w:id="5"/>
      <w:bookmarkEnd w:id="6"/>
      <w:bookmarkEnd w:id="5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LR0577,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Rebuttable Presumption Related to Specialized Risk Screening for First Responders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01B0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25A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