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Exempt Certain Conservation Lots from Municipal Subdivision Review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264 - L.D. 596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Exempt Certain Conservation Lots from Municipal Subdivision Review</w:t>
      </w:r>
    </w:p>
    <w:p w:rsidR="00F43F36" w:rsidP="00F43F36">
      <w:pPr>
        <w:ind w:left="360"/>
        <w:rPr>
          <w:rFonts w:ascii="Arial" w:eastAsia="Arial" w:hAnsi="Arial" w:cs="Arial"/>
        </w:rPr>
      </w:pPr>
      <w:bookmarkStart w:id="0" w:name="_ENACTING_CLAUSE__2d15219e_a109_4460_94d"/>
      <w:bookmarkStart w:id="1" w:name="_PAR__1_a783a635_77f1_4976_b3a2_a041966d"/>
      <w:bookmarkStart w:id="2" w:name="_DOC_BODY_CONTAINER__5ae7b504_ca98_41bd_"/>
      <w:r>
        <w:rPr>
          <w:rFonts w:ascii="Arial" w:eastAsia="Arial" w:hAnsi="Arial" w:cs="Arial"/>
          <w:b/>
        </w:rPr>
        <w:t>Be it enacted by the People of the State of Maine as follows:</w:t>
      </w:r>
    </w:p>
    <w:p w:rsidR="00F43F36" w:rsidP="00F43F36">
      <w:pPr>
        <w:ind w:left="360" w:firstLine="360"/>
        <w:rPr>
          <w:rFonts w:ascii="Arial" w:eastAsia="Arial" w:hAnsi="Arial" w:cs="Arial"/>
        </w:rPr>
      </w:pPr>
      <w:bookmarkStart w:id="3" w:name="_BILL_SECTION_HEADER__5b23afdc_5002_4c65"/>
      <w:bookmarkStart w:id="4" w:name="_PAR__2_9ea204d0_7b59_402b_bc97_94d8fddb"/>
      <w:bookmarkStart w:id="5" w:name="_BILL_SECTION__74e14621_6ccd_4d5f_9fa1_e"/>
      <w:bookmarkStart w:id="6" w:name="_DOC_BODY_CONTENT__38d1fa0d_c894_41f9_95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1e74619_8903_46a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30-A MRSA §4401, sub-§4, ¶J</w:t>
      </w:r>
      <w:r>
        <w:rPr>
          <w:rFonts w:ascii="Arial" w:eastAsia="Arial" w:hAnsi="Arial" w:cs="Arial"/>
        </w:rPr>
        <w:t xml:space="preserve"> is enacted to read:</w:t>
      </w:r>
    </w:p>
    <w:p w:rsidR="00F43F36" w:rsidP="00F43F36">
      <w:pPr>
        <w:ind w:left="720"/>
        <w:rPr>
          <w:rFonts w:ascii="Arial" w:eastAsia="Arial" w:hAnsi="Arial" w:cs="Arial"/>
        </w:rPr>
      </w:pPr>
      <w:bookmarkStart w:id="8" w:name="_STATUTE_NUMBER__bdf6a744_c95a_4e9e_af82"/>
      <w:bookmarkStart w:id="9" w:name="_PAR__3_fa0f2b2c_95d0_4870_beba_83898fa7"/>
      <w:bookmarkStart w:id="10" w:name="_STATUTE_P__21b6955e_6633_47c1_b579_ebee"/>
      <w:bookmarkEnd w:id="3"/>
      <w:bookmarkEnd w:id="4"/>
      <w:r>
        <w:rPr>
          <w:rFonts w:ascii="Arial" w:eastAsia="Arial" w:hAnsi="Arial" w:cs="Arial"/>
          <w:u w:val="single"/>
        </w:rPr>
        <w:t>J</w:t>
      </w:r>
      <w:bookmarkEnd w:id="8"/>
      <w:r>
        <w:rPr>
          <w:rFonts w:ascii="Arial" w:eastAsia="Arial" w:hAnsi="Arial" w:cs="Arial"/>
          <w:u w:val="single"/>
        </w:rPr>
        <w:t xml:space="preserve">.  </w:t>
      </w:r>
      <w:bookmarkStart w:id="11" w:name="_STATUTE_CONTENT__1b47e965_7e65_4c94_970"/>
      <w:r>
        <w:rPr>
          <w:rFonts w:ascii="Arial" w:eastAsia="Arial" w:hAnsi="Arial" w:cs="Arial"/>
          <w:u w:val="single"/>
        </w:rPr>
        <w:t>Unless the intent of a</w:t>
      </w:r>
      <w:r>
        <w:rPr>
          <w:rFonts w:ascii="Arial" w:eastAsia="Arial" w:hAnsi="Arial" w:cs="Arial"/>
          <w:u w:val="single"/>
        </w:rPr>
        <w:t xml:space="preserve"> transfer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is to avoid the objectives of this subchapter, the division of a tract or parcel of land accomplished by the transfer of any interest in the land to a holder does not create a lot or lots for purposes of this definition if</w:t>
      </w:r>
      <w:r>
        <w:rPr>
          <w:rFonts w:ascii="Arial" w:eastAsia="Arial" w:hAnsi="Arial" w:cs="Arial"/>
          <w:u w:val="single"/>
        </w:rPr>
        <w:t>:</w:t>
      </w:r>
    </w:p>
    <w:p w:rsidR="00F43F36" w:rsidP="00F43F36">
      <w:pPr>
        <w:ind w:left="1080"/>
        <w:rPr>
          <w:rFonts w:ascii="Arial" w:eastAsia="Arial" w:hAnsi="Arial" w:cs="Arial"/>
        </w:rPr>
      </w:pPr>
      <w:bookmarkStart w:id="12" w:name="_PAR__4_a9aa55f1_c471_4b67_bda3_7830698e"/>
      <w:bookmarkStart w:id="13" w:name="_STATUTE_SP__8e7f599d_35fb_401a_99c8_d42"/>
      <w:bookmarkEnd w:id="9"/>
      <w:bookmarkEnd w:id="11"/>
      <w:r>
        <w:rPr>
          <w:rFonts w:ascii="Arial" w:eastAsia="Arial" w:hAnsi="Arial" w:cs="Arial"/>
          <w:u w:val="single"/>
        </w:rPr>
        <w:t>(</w:t>
      </w:r>
      <w:bookmarkStart w:id="14" w:name="_STATUTE_NUMBER__0bf76b9c_761f_42af_a30f"/>
      <w:r>
        <w:rPr>
          <w:rFonts w:ascii="Arial" w:eastAsia="Arial" w:hAnsi="Arial" w:cs="Arial"/>
          <w:u w:val="single"/>
        </w:rPr>
        <w:t>1</w:t>
      </w:r>
      <w:bookmarkEnd w:id="14"/>
      <w:r>
        <w:rPr>
          <w:rFonts w:ascii="Arial" w:eastAsia="Arial" w:hAnsi="Arial" w:cs="Arial"/>
          <w:u w:val="single"/>
        </w:rPr>
        <w:t xml:space="preserve">)  </w:t>
      </w:r>
      <w:bookmarkStart w:id="15" w:name="_STATUTE_CONTENT__fc44887f_5b82_4430_b5a"/>
      <w:r>
        <w:rPr>
          <w:rFonts w:ascii="Arial" w:eastAsia="Arial" w:hAnsi="Arial" w:cs="Arial"/>
          <w:u w:val="single"/>
        </w:rPr>
        <w:t>The transferred interest, as expressed by conservation easement, binding agreement, declaration of trust or otherwise, is to be permanently held for one or more of the following conservation purposes</w:t>
      </w:r>
      <w:r>
        <w:rPr>
          <w:rFonts w:ascii="Arial" w:eastAsia="Arial" w:hAnsi="Arial" w:cs="Arial"/>
          <w:u w:val="single"/>
        </w:rPr>
        <w:t>:</w:t>
      </w:r>
    </w:p>
    <w:p w:rsidR="00F43F36" w:rsidP="00F43F36">
      <w:pPr>
        <w:ind w:left="1800"/>
        <w:rPr>
          <w:rFonts w:ascii="Arial" w:eastAsia="Arial" w:hAnsi="Arial" w:cs="Arial"/>
        </w:rPr>
      </w:pPr>
      <w:bookmarkStart w:id="16" w:name="_STATUTE_SD__47f9382a_c5e9_445f_8295_e40"/>
      <w:bookmarkStart w:id="17" w:name="_PAR__5_6f715cbd_f99d_4142_bc88_1de7dab3"/>
      <w:bookmarkEnd w:id="12"/>
      <w:bookmarkEnd w:id="15"/>
      <w:r>
        <w:rPr>
          <w:rFonts w:ascii="Arial" w:eastAsia="Arial" w:hAnsi="Arial" w:cs="Arial"/>
          <w:u w:val="single"/>
        </w:rPr>
        <w:t>(</w:t>
      </w:r>
      <w:bookmarkStart w:id="18" w:name="_STATUTE_NUMBER__cc15da6a_eb72_4e86_8b35"/>
      <w:r>
        <w:rPr>
          <w:rFonts w:ascii="Arial" w:eastAsia="Arial" w:hAnsi="Arial" w:cs="Arial"/>
          <w:u w:val="single"/>
        </w:rPr>
        <w:t>a</w:t>
      </w:r>
      <w:bookmarkEnd w:id="18"/>
      <w:r>
        <w:rPr>
          <w:rFonts w:ascii="Arial" w:eastAsia="Arial" w:hAnsi="Arial" w:cs="Arial"/>
          <w:u w:val="single"/>
        </w:rPr>
        <w:t xml:space="preserve">)  </w:t>
      </w:r>
      <w:bookmarkStart w:id="19" w:name="_STATUTE_CONTENT__5032d8e9_764a_48e7_9c0"/>
      <w:r>
        <w:rPr>
          <w:rFonts w:ascii="Arial" w:eastAsia="Arial" w:hAnsi="Arial" w:cs="Arial"/>
          <w:u w:val="single"/>
        </w:rPr>
        <w:t>Retaining or protecting the natural, scenic or open space values of the land;</w:t>
      </w:r>
    </w:p>
    <w:p w:rsidR="00F43F36" w:rsidP="00F43F36">
      <w:pPr>
        <w:ind w:left="1800"/>
        <w:rPr>
          <w:rFonts w:ascii="Arial" w:eastAsia="Arial" w:hAnsi="Arial" w:cs="Arial"/>
        </w:rPr>
      </w:pPr>
      <w:bookmarkStart w:id="20" w:name="_STATUTE_SD__73db4185_5176_486a_845b_6ce"/>
      <w:bookmarkStart w:id="21" w:name="_PAR__6_f2835ae9_87f6_4ac8_bcdf_78d00c0d"/>
      <w:bookmarkEnd w:id="16"/>
      <w:bookmarkEnd w:id="17"/>
      <w:bookmarkEnd w:id="19"/>
      <w:r>
        <w:rPr>
          <w:rFonts w:ascii="Arial" w:eastAsia="Arial" w:hAnsi="Arial" w:cs="Arial"/>
          <w:u w:val="single"/>
        </w:rPr>
        <w:t>(</w:t>
      </w:r>
      <w:bookmarkStart w:id="22" w:name="_STATUTE_NUMBER__21407396_df14_4e16_877a"/>
      <w:r>
        <w:rPr>
          <w:rFonts w:ascii="Arial" w:eastAsia="Arial" w:hAnsi="Arial" w:cs="Arial"/>
          <w:u w:val="single"/>
        </w:rPr>
        <w:t>b</w:t>
      </w:r>
      <w:bookmarkEnd w:id="22"/>
      <w:r>
        <w:rPr>
          <w:rFonts w:ascii="Arial" w:eastAsia="Arial" w:hAnsi="Arial" w:cs="Arial"/>
          <w:u w:val="single"/>
        </w:rPr>
        <w:t xml:space="preserve">)  </w:t>
      </w:r>
      <w:bookmarkStart w:id="23" w:name="_STATUTE_CONTENT__ae0aa16c_c3a3_45b3_933"/>
      <w:r>
        <w:rPr>
          <w:rFonts w:ascii="Arial" w:eastAsia="Arial" w:hAnsi="Arial" w:cs="Arial"/>
          <w:u w:val="single"/>
        </w:rPr>
        <w:t>Ensur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the availability of the land for agricultural, forest, recreational or open space use;</w:t>
      </w:r>
    </w:p>
    <w:p w:rsidR="00F43F36" w:rsidP="00F43F36">
      <w:pPr>
        <w:ind w:left="1800"/>
        <w:rPr>
          <w:rFonts w:ascii="Arial" w:eastAsia="Arial" w:hAnsi="Arial" w:cs="Arial"/>
        </w:rPr>
      </w:pPr>
      <w:bookmarkStart w:id="24" w:name="_STATUTE_SD__391460ad_48dc_48fd_92b0_cf3"/>
      <w:bookmarkStart w:id="25" w:name="_PAR__7_574defc9_1f89_49cc_8fd2_f049d6f6"/>
      <w:bookmarkEnd w:id="20"/>
      <w:bookmarkEnd w:id="21"/>
      <w:bookmarkEnd w:id="23"/>
      <w:r>
        <w:rPr>
          <w:rFonts w:ascii="Arial" w:eastAsia="Arial" w:hAnsi="Arial" w:cs="Arial"/>
          <w:u w:val="single"/>
        </w:rPr>
        <w:t>(</w:t>
      </w:r>
      <w:bookmarkStart w:id="26" w:name="_STATUTE_NUMBER__8280fdaa_b083_462f_a1c7"/>
      <w:r>
        <w:rPr>
          <w:rFonts w:ascii="Arial" w:eastAsia="Arial" w:hAnsi="Arial" w:cs="Arial"/>
          <w:u w:val="single"/>
        </w:rPr>
        <w:t>c</w:t>
      </w:r>
      <w:bookmarkEnd w:id="26"/>
      <w:r>
        <w:rPr>
          <w:rFonts w:ascii="Arial" w:eastAsia="Arial" w:hAnsi="Arial" w:cs="Arial"/>
          <w:u w:val="single"/>
        </w:rPr>
        <w:t xml:space="preserve">)  </w:t>
      </w:r>
      <w:bookmarkStart w:id="27" w:name="_STATUTE_CONTENT__f43db1ba_edc7_4b8f_9ed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rotecting natural resources; or</w:t>
      </w:r>
    </w:p>
    <w:p w:rsidR="00F43F36" w:rsidP="00F43F36">
      <w:pPr>
        <w:ind w:left="1800"/>
        <w:rPr>
          <w:rFonts w:ascii="Arial" w:eastAsia="Arial" w:hAnsi="Arial" w:cs="Arial"/>
        </w:rPr>
      </w:pPr>
      <w:bookmarkStart w:id="28" w:name="_STATUTE_SD__c7306a2e_f240_46c0_98b9_838"/>
      <w:bookmarkStart w:id="29" w:name="_PAR__8_8271c2c6_16f9_423a_957a_5752f8e6"/>
      <w:bookmarkEnd w:id="24"/>
      <w:bookmarkEnd w:id="25"/>
      <w:bookmarkEnd w:id="27"/>
      <w:r>
        <w:rPr>
          <w:rFonts w:ascii="Arial" w:eastAsia="Arial" w:hAnsi="Arial" w:cs="Arial"/>
          <w:u w:val="single"/>
        </w:rPr>
        <w:t>(</w:t>
      </w:r>
      <w:bookmarkStart w:id="30" w:name="_STATUTE_NUMBER__9280a8c0_b73b_4b02_b56c"/>
      <w:r>
        <w:rPr>
          <w:rFonts w:ascii="Arial" w:eastAsia="Arial" w:hAnsi="Arial" w:cs="Arial"/>
          <w:u w:val="single"/>
        </w:rPr>
        <w:t>d</w:t>
      </w:r>
      <w:bookmarkEnd w:id="30"/>
      <w:r>
        <w:rPr>
          <w:rFonts w:ascii="Arial" w:eastAsia="Arial" w:hAnsi="Arial" w:cs="Arial"/>
          <w:u w:val="single"/>
        </w:rPr>
        <w:t xml:space="preserve">)  </w:t>
      </w:r>
      <w:bookmarkStart w:id="31" w:name="_STATUTE_CONTENT__ac9002e7_34ab_413e_ac2"/>
      <w:r>
        <w:rPr>
          <w:rFonts w:ascii="Arial" w:eastAsia="Arial" w:hAnsi="Arial" w:cs="Arial"/>
          <w:u w:val="single"/>
        </w:rPr>
        <w:t>Maintaining or enhancing air quality or water quality; and</w:t>
      </w:r>
    </w:p>
    <w:p w:rsidR="00F43F36" w:rsidP="00F43F36">
      <w:pPr>
        <w:ind w:left="1080"/>
        <w:rPr>
          <w:rFonts w:ascii="Arial" w:eastAsia="Arial" w:hAnsi="Arial" w:cs="Arial"/>
        </w:rPr>
      </w:pPr>
      <w:bookmarkStart w:id="32" w:name="_STATUTE_SP__31966b94_76c0_46a7_9eca_791"/>
      <w:bookmarkStart w:id="33" w:name="_PAR__9_a280fc63_438c_4799_8c28_31f75426"/>
      <w:bookmarkEnd w:id="13"/>
      <w:bookmarkEnd w:id="28"/>
      <w:bookmarkEnd w:id="29"/>
      <w:bookmarkEnd w:id="31"/>
      <w:r>
        <w:rPr>
          <w:rFonts w:ascii="Arial" w:eastAsia="Arial" w:hAnsi="Arial" w:cs="Arial"/>
          <w:u w:val="single"/>
        </w:rPr>
        <w:t>(</w:t>
      </w:r>
      <w:bookmarkStart w:id="34" w:name="_STATUTE_NUMBER__82335df1_7ad9_4728_a7e1"/>
      <w:r>
        <w:rPr>
          <w:rFonts w:ascii="Arial" w:eastAsia="Arial" w:hAnsi="Arial" w:cs="Arial"/>
          <w:u w:val="single"/>
        </w:rPr>
        <w:t>2</w:t>
      </w:r>
      <w:bookmarkEnd w:id="34"/>
      <w:r>
        <w:rPr>
          <w:rFonts w:ascii="Arial" w:eastAsia="Arial" w:hAnsi="Arial" w:cs="Arial"/>
          <w:u w:val="single"/>
        </w:rPr>
        <w:t xml:space="preserve">)  </w:t>
      </w:r>
      <w:bookmarkStart w:id="35" w:name="_STATUTE_CONTENT__67d0878c_db5f_4dee_822"/>
      <w:r>
        <w:rPr>
          <w:rFonts w:ascii="Arial" w:eastAsia="Arial" w:hAnsi="Arial" w:cs="Arial"/>
          <w:u w:val="single"/>
        </w:rPr>
        <w:t>The transferred interest is not subsequently furth</w:t>
      </w:r>
      <w:r>
        <w:rPr>
          <w:rFonts w:ascii="Arial" w:eastAsia="Arial" w:hAnsi="Arial" w:cs="Arial"/>
          <w:u w:val="single"/>
        </w:rPr>
        <w:t>er divided or transferred except to another holder.</w:t>
      </w:r>
    </w:p>
    <w:p w:rsidR="00000000" w:rsidP="00F43F36">
      <w:pPr>
        <w:ind w:left="720"/>
        <w:rPr>
          <w:rFonts w:ascii="Arial" w:eastAsia="Arial" w:hAnsi="Arial" w:cs="Arial"/>
        </w:rPr>
      </w:pPr>
      <w:bookmarkStart w:id="36" w:name="_STATUTE_P__2ad71207_c02d_44e7_a9fb_8ef6"/>
      <w:bookmarkStart w:id="37" w:name="_STATUTE_CONTENT__e314407f_f870_4066_aea"/>
      <w:bookmarkStart w:id="38" w:name="_PAR__10_b780235a_05fe_4725_8b1b_20e56a6"/>
      <w:bookmarkEnd w:id="32"/>
      <w:bookmarkEnd w:id="33"/>
      <w:bookmarkEnd w:id="35"/>
      <w:r>
        <w:rPr>
          <w:rFonts w:ascii="Arial" w:eastAsia="Arial" w:hAnsi="Arial" w:cs="Arial"/>
          <w:u w:val="single"/>
        </w:rPr>
        <w:t>As used in this paragraph, "holder" has the same meaning as in Title 33, section 476, subsection 2.</w:t>
      </w:r>
      <w:bookmarkEnd w:id="2"/>
      <w:bookmarkEnd w:id="5"/>
      <w:bookmarkEnd w:id="6"/>
      <w:bookmarkEnd w:id="10"/>
      <w:bookmarkEnd w:id="36"/>
      <w:bookmarkEnd w:id="37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LR1547,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Exempt Certain Conservation Lots from Municipal Subdivision Review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43F36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